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1B083919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1837CC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ésidence CHARPENTIER 3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195C3075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façade des bâtiments de la résidence </w:t>
      </w:r>
      <w:r w:rsidR="001837CC" w:rsidRPr="00340C01">
        <w:rPr>
          <w:rFonts w:asciiTheme="minorHAnsi" w:hAnsiTheme="minorHAnsi" w:cstheme="minorHAnsi"/>
          <w:b/>
          <w:iCs/>
          <w:szCs w:val="20"/>
        </w:rPr>
        <w:t>CHARPENTIER 3</w:t>
      </w:r>
      <w:r w:rsidR="005F09E0" w:rsidRPr="00340C01">
        <w:rPr>
          <w:rFonts w:asciiTheme="minorHAnsi" w:hAnsiTheme="minorHAnsi" w:cstheme="minorHAnsi"/>
          <w:b/>
          <w:iCs/>
          <w:szCs w:val="20"/>
        </w:rPr>
        <w:t xml:space="preserve"> </w:t>
      </w:r>
      <w:r w:rsidR="009D036D" w:rsidRPr="00340C01">
        <w:rPr>
          <w:rFonts w:asciiTheme="minorHAnsi" w:hAnsiTheme="minorHAnsi" w:cstheme="minorHAnsi"/>
          <w:b/>
          <w:iCs/>
          <w:szCs w:val="20"/>
        </w:rPr>
        <w:t>-</w:t>
      </w:r>
      <w:r w:rsidR="009D036D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située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1837CC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Jacarandas 2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B5477E">
        <w:rPr>
          <w:rFonts w:asciiTheme="minorHAnsi" w:hAnsiTheme="minorHAnsi" w:cstheme="minorHAnsi"/>
          <w:b/>
          <w:iCs/>
          <w:szCs w:val="20"/>
        </w:rPr>
        <w:t>Dumbéa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7FEF0E93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B5477E">
        <w:rPr>
          <w:rFonts w:asciiTheme="minorHAnsi" w:hAnsiTheme="minorHAnsi" w:cstheme="minorHAnsi"/>
          <w:b/>
          <w:bCs/>
          <w:szCs w:val="20"/>
        </w:rPr>
        <w:t>2</w:t>
      </w:r>
      <w:r w:rsidR="00340C01">
        <w:rPr>
          <w:rFonts w:asciiTheme="minorHAnsi" w:hAnsiTheme="minorHAnsi" w:cstheme="minorHAnsi"/>
          <w:b/>
          <w:bCs/>
          <w:szCs w:val="20"/>
        </w:rPr>
        <w:t>0 semaines</w:t>
      </w:r>
      <w:bookmarkStart w:id="0" w:name="_GoBack"/>
      <w:bookmarkEnd w:id="0"/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2A39EFF5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340C01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340C01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7CC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0C01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E19-B8F8-4AB2-B3BD-B5BC0BB8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1179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2021-03-12T02:43:00Z</dcterms:modified>
</cp:coreProperties>
</file>