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16EDCE4D" w:rsidR="007147E0" w:rsidRPr="00117308" w:rsidRDefault="00E2427F" w:rsidP="000555C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0555CE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D626E7">
        <w:rPr>
          <w:rFonts w:asciiTheme="minorHAnsi" w:hAnsiTheme="minorHAnsi" w:cstheme="minorHAnsi"/>
          <w:b/>
          <w:sz w:val="36"/>
          <w:szCs w:val="36"/>
        </w:rPr>
        <w:t>PORT MAGENTA</w:t>
      </w:r>
      <w:r w:rsidR="000555C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D626E7">
        <w:rPr>
          <w:rFonts w:asciiTheme="minorHAnsi" w:hAnsiTheme="minorHAnsi" w:cstheme="minorHAnsi"/>
          <w:b/>
          <w:sz w:val="36"/>
          <w:szCs w:val="36"/>
        </w:rPr>
        <w:t>NOUMEA</w:t>
      </w:r>
    </w:p>
    <w:p w14:paraId="3078C24D" w14:textId="77777777" w:rsidR="00A83B03" w:rsidRPr="00117308" w:rsidRDefault="00A83B03" w:rsidP="000555CE">
      <w:pPr>
        <w:jc w:val="right"/>
        <w:rPr>
          <w:rFonts w:asciiTheme="minorHAnsi" w:hAnsiTheme="minorHAnsi" w:cstheme="minorHAnsi"/>
          <w:sz w:val="36"/>
          <w:szCs w:val="36"/>
        </w:rPr>
      </w:pPr>
    </w:p>
    <w:p w14:paraId="57BF9A92" w14:textId="0177024E" w:rsidR="00B25AE4" w:rsidRDefault="0023087E" w:rsidP="000555CE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Marché N°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D626E7">
        <w:rPr>
          <w:rFonts w:asciiTheme="minorHAnsi" w:hAnsiTheme="minorHAnsi" w:cstheme="minorHAnsi"/>
          <w:b/>
          <w:i/>
          <w:color w:val="FFC000"/>
          <w:sz w:val="32"/>
          <w:szCs w:val="32"/>
        </w:rPr>
        <w:t>2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0555CE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3C102043" w:rsidR="008E0C21" w:rsidRPr="00117308" w:rsidRDefault="00E121D0" w:rsidP="000555CE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0555CE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03CA1B14" w:rsidR="007147E0" w:rsidRPr="00117308" w:rsidRDefault="0023087E" w:rsidP="00E121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F90871" w:rsidRPr="002C3131">
        <w:rPr>
          <w:rFonts w:asciiTheme="minorHAnsi" w:hAnsiTheme="minorHAnsi" w:cstheme="minorHAnsi"/>
          <w:b/>
          <w:bCs/>
        </w:rPr>
        <w:t>marché privé</w:t>
      </w:r>
      <w:r w:rsidR="00F90871">
        <w:rPr>
          <w:rFonts w:asciiTheme="minorHAnsi" w:hAnsiTheme="minorHAnsi" w:cstheme="minorHAnsi"/>
          <w:b/>
          <w:bCs/>
        </w:rPr>
        <w:t xml:space="preserve"> de travaux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6FFC9CC0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</w:t>
      </w:r>
      <w:r w:rsidR="000555CE">
        <w:rPr>
          <w:rFonts w:asciiTheme="minorHAnsi" w:hAnsiTheme="minorHAnsi" w:cstheme="minorHAnsi"/>
          <w:b/>
          <w:color w:val="548DD4" w:themeColor="text2" w:themeTint="99"/>
          <w:szCs w:val="20"/>
        </w:rPr>
        <w:t>de hall d’immeuble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de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PORT MAGENTA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6E5936CA" w:rsidR="00E02BF6" w:rsidRPr="00DB0CCB" w:rsidRDefault="00FB610A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PORT MAGENTA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10B11E05" w:rsidR="00E02BF6" w:rsidRPr="00DB0CCB" w:rsidRDefault="00FB610A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22, rue de Prony -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65540D72" w:rsidR="00E02BF6" w:rsidRPr="00DB0CCB" w:rsidRDefault="00984123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NOUMEA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C874BBC" w:rsidR="00217A96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595D5F8B" w14:textId="77777777" w:rsidR="009140FB" w:rsidRPr="004915E9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34AC6369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</w:t>
      </w:r>
      <w:r w:rsidR="00541B29">
        <w:rPr>
          <w:rFonts w:asciiTheme="minorHAnsi" w:hAnsiTheme="minorHAnsi" w:cstheme="minorHAnsi"/>
          <w:b/>
          <w:color w:val="548DD4" w:themeColor="text2" w:themeTint="99"/>
          <w:szCs w:val="20"/>
        </w:rPr>
        <w:t>Franc CFP</w:t>
      </w:r>
    </w:p>
    <w:p w14:paraId="3DA15448" w14:textId="11B52520" w:rsidR="00D26494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bookmarkStart w:id="0" w:name="_GoBack"/>
      <w:bookmarkEnd w:id="0"/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296235" w14:textId="77777777" w:rsidR="005353D0" w:rsidRPr="00117308" w:rsidRDefault="00073CF0" w:rsidP="005353D0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5353D0">
        <w:rPr>
          <w:rFonts w:asciiTheme="minorHAnsi" w:hAnsiTheme="minorHAnsi" w:cstheme="minorHAnsi"/>
          <w:b/>
          <w:sz w:val="20"/>
          <w:szCs w:val="20"/>
        </w:rPr>
        <w:t>SOUS-TRAITANT</w:t>
      </w:r>
    </w:p>
    <w:p w14:paraId="1CBB1908" w14:textId="182A9882" w:rsidR="00D33A4A" w:rsidRPr="00117308" w:rsidRDefault="00D33A4A" w:rsidP="005353D0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9E53F2" w14:textId="58419533" w:rsidR="005353D0" w:rsidRPr="00117308" w:rsidRDefault="005353D0" w:rsidP="005353D0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CC4DB0">
        <w:rPr>
          <w:rFonts w:asciiTheme="minorHAnsi" w:hAnsiTheme="minorHAnsi" w:cstheme="minorHAnsi"/>
          <w:b/>
          <w:szCs w:val="20"/>
        </w:rPr>
        <w:t>TTC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77AE3CEF" w:rsidR="00D33A4A" w:rsidRPr="00117308" w:rsidRDefault="00073CF0" w:rsidP="005353D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22A7DDB4" w:rsidR="00D33A4A" w:rsidRPr="00117308" w:rsidRDefault="00D33A4A" w:rsidP="00CC4DB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CC4DB0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1763E91E" w14:textId="6BEEA8ED" w:rsidR="009140FB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5F60DCD6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FB610A">
      <w:rPr>
        <w:rFonts w:asciiTheme="minorHAnsi" w:hAnsiTheme="minorHAnsi" w:cstheme="minorHAnsi"/>
        <w:b/>
        <w:sz w:val="12"/>
        <w:szCs w:val="12"/>
      </w:rPr>
      <w:t>PORT MAGENTA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41B29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41B29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34239567" w:rsidR="0021327E" w:rsidRPr="009B6C71" w:rsidRDefault="00541B29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CC4DB0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CC4DB0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491666B6" w:rsidR="0021327E" w:rsidRPr="00117308" w:rsidRDefault="0021327E" w:rsidP="009D06B4">
    <w:pPr>
      <w:pStyle w:val="En-tte"/>
      <w:rPr>
        <w:rFonts w:asciiTheme="minorHAnsi" w:hAnsiTheme="minorHAnsi" w:cstheme="minorHAnsi"/>
      </w:rPr>
    </w:pPr>
    <w:r w:rsidRPr="00117308">
      <w:rPr>
        <w:rFonts w:asciiTheme="minorHAnsi" w:hAnsiTheme="minorHAnsi" w:cstheme="minorHAnsi"/>
        <w:sz w:val="16"/>
        <w:szCs w:val="16"/>
      </w:rPr>
      <w:t>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55C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353D0"/>
    <w:rsid w:val="005401DB"/>
    <w:rsid w:val="00541B29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4123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212C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4DB0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CF68FB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0871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A510-6469-4D05-9117-755097B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1139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63</cp:revision>
  <cp:lastPrinted>2019-02-19T22:39:00Z</cp:lastPrinted>
  <dcterms:created xsi:type="dcterms:W3CDTF">2019-02-26T03:50:00Z</dcterms:created>
  <dcterms:modified xsi:type="dcterms:W3CDTF">2021-06-24T00:14:00Z</dcterms:modified>
</cp:coreProperties>
</file>