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44C0" w14:textId="47CB753D" w:rsidR="003D7525" w:rsidRDefault="00232CC5" w:rsidP="00BF6764">
      <w:pPr>
        <w:jc w:val="center"/>
      </w:pPr>
      <w:r>
        <w:rPr>
          <w:noProof/>
          <w:lang w:eastAsia="fr-FR"/>
        </w:rPr>
        <w:drawing>
          <wp:inline distT="0" distB="0" distL="0" distR="0" wp14:anchorId="635D8105" wp14:editId="4808802A">
            <wp:extent cx="1754505" cy="17545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CH_2020_Plan de travai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697" cy="1754697"/>
                    </a:xfrm>
                    <a:prstGeom prst="rect">
                      <a:avLst/>
                    </a:prstGeom>
                  </pic:spPr>
                </pic:pic>
              </a:graphicData>
            </a:graphic>
          </wp:inline>
        </w:drawing>
      </w:r>
    </w:p>
    <w:p w14:paraId="03A83014" w14:textId="3C30D639" w:rsidR="00BF6764" w:rsidRPr="00BF6764" w:rsidRDefault="00BF6764" w:rsidP="00BF6764">
      <w:pPr>
        <w:pBdr>
          <w:top w:val="single" w:sz="4" w:space="1" w:color="auto"/>
          <w:left w:val="single" w:sz="4" w:space="4" w:color="auto"/>
          <w:bottom w:val="single" w:sz="4" w:space="1" w:color="auto"/>
          <w:right w:val="single" w:sz="4" w:space="4" w:color="auto"/>
        </w:pBdr>
        <w:jc w:val="center"/>
        <w:rPr>
          <w:b/>
          <w:sz w:val="32"/>
        </w:rPr>
      </w:pPr>
      <w:r w:rsidRPr="00BF6764">
        <w:rPr>
          <w:b/>
          <w:sz w:val="32"/>
        </w:rPr>
        <w:t>Accord-cadre multi-attributaires pour la réalisation de prestations de services consistant en l’obtention pour le compte du Fonds Calédonien de l’Habitat des avantages fiscaux relatifs à la défiscalisation immobilière dans le secteur</w:t>
      </w:r>
      <w:r w:rsidR="004F7755">
        <w:rPr>
          <w:b/>
          <w:sz w:val="32"/>
        </w:rPr>
        <w:t xml:space="preserve"> du logement</w:t>
      </w:r>
      <w:r w:rsidRPr="00BF6764">
        <w:rPr>
          <w:b/>
          <w:sz w:val="32"/>
        </w:rPr>
        <w:t xml:space="preserve"> social </w:t>
      </w:r>
      <w:r w:rsidR="007110B3">
        <w:rPr>
          <w:b/>
          <w:sz w:val="32"/>
        </w:rPr>
        <w:br/>
        <w:t xml:space="preserve">sous le régime des articles 199 </w:t>
      </w:r>
      <w:proofErr w:type="spellStart"/>
      <w:r w:rsidR="007110B3">
        <w:rPr>
          <w:b/>
          <w:sz w:val="32"/>
        </w:rPr>
        <w:t>undecies</w:t>
      </w:r>
      <w:proofErr w:type="spellEnd"/>
      <w:r w:rsidR="007110B3">
        <w:rPr>
          <w:b/>
          <w:sz w:val="32"/>
        </w:rPr>
        <w:t xml:space="preserve"> C et </w:t>
      </w:r>
      <w:r w:rsidR="00545718">
        <w:rPr>
          <w:b/>
          <w:sz w:val="32"/>
        </w:rPr>
        <w:t>244 quarter Y</w:t>
      </w:r>
    </w:p>
    <w:p w14:paraId="664916D3" w14:textId="77777777" w:rsidR="00BF6764" w:rsidRDefault="00BF6764" w:rsidP="00BF6764">
      <w:pPr>
        <w:jc w:val="center"/>
        <w:rPr>
          <w:b/>
          <w:sz w:val="32"/>
        </w:rPr>
      </w:pPr>
    </w:p>
    <w:p w14:paraId="47ED5570" w14:textId="77777777" w:rsidR="00A27F4B" w:rsidRPr="00BF6764" w:rsidRDefault="00A27F4B" w:rsidP="00BF6764">
      <w:pPr>
        <w:jc w:val="center"/>
        <w:rPr>
          <w:b/>
          <w:sz w:val="32"/>
        </w:rPr>
      </w:pPr>
    </w:p>
    <w:p w14:paraId="1562E73B" w14:textId="77777777" w:rsidR="00D85327" w:rsidRDefault="00BF6764" w:rsidP="00D85327">
      <w:pPr>
        <w:spacing w:after="0" w:line="240" w:lineRule="auto"/>
        <w:rPr>
          <w:sz w:val="24"/>
        </w:rPr>
      </w:pPr>
      <w:r w:rsidRPr="00A73A87">
        <w:rPr>
          <w:b/>
          <w:sz w:val="24"/>
        </w:rPr>
        <w:t>Fonds Calédonien de l</w:t>
      </w:r>
      <w:r w:rsidR="00A73A87" w:rsidRPr="00A73A87">
        <w:rPr>
          <w:b/>
          <w:sz w:val="24"/>
        </w:rPr>
        <w:t>’Habitat</w:t>
      </w:r>
      <w:r w:rsidR="005F09D7">
        <w:rPr>
          <w:b/>
          <w:sz w:val="24"/>
        </w:rPr>
        <w:t xml:space="preserve"> </w:t>
      </w:r>
      <w:r w:rsidR="004739D1">
        <w:rPr>
          <w:b/>
          <w:sz w:val="24"/>
        </w:rPr>
        <w:br/>
      </w:r>
      <w:r w:rsidR="004739D1" w:rsidRPr="00BD52E7">
        <w:rPr>
          <w:sz w:val="24"/>
        </w:rPr>
        <w:t>Société par Actions Simplifiée</w:t>
      </w:r>
      <w:r w:rsidR="005F09D7" w:rsidRPr="00BD52E7">
        <w:rPr>
          <w:sz w:val="24"/>
        </w:rPr>
        <w:t xml:space="preserve"> (RCS n°B705-210)</w:t>
      </w:r>
    </w:p>
    <w:p w14:paraId="76F38911" w14:textId="2E007EC3" w:rsidR="00BF6764" w:rsidRDefault="00D85327" w:rsidP="00D85327">
      <w:pPr>
        <w:spacing w:after="0" w:line="240" w:lineRule="auto"/>
        <w:rPr>
          <w:sz w:val="32"/>
        </w:rPr>
      </w:pPr>
      <w:r>
        <w:rPr>
          <w:sz w:val="24"/>
        </w:rPr>
        <w:t>Au capital de 15 550 000 000 F CFP</w:t>
      </w:r>
      <w:r w:rsidR="00A73A87" w:rsidRPr="00BD52E7">
        <w:rPr>
          <w:sz w:val="24"/>
        </w:rPr>
        <w:br/>
      </w:r>
      <w:r w:rsidR="00A73A87">
        <w:rPr>
          <w:sz w:val="24"/>
        </w:rPr>
        <w:t>1, rue de la Somme</w:t>
      </w:r>
      <w:r w:rsidR="00A73A87">
        <w:rPr>
          <w:sz w:val="24"/>
        </w:rPr>
        <w:br/>
        <w:t>B.P.</w:t>
      </w:r>
      <w:r w:rsidR="00BF6764" w:rsidRPr="00BF6764">
        <w:rPr>
          <w:sz w:val="24"/>
        </w:rPr>
        <w:t xml:space="preserve"> 3887 – 98846 NOUMEA CEDEX</w:t>
      </w:r>
      <w:r w:rsidR="00BF6764" w:rsidRPr="00BF6764">
        <w:rPr>
          <w:sz w:val="24"/>
        </w:rPr>
        <w:br/>
        <w:t>Tél. 26 60 00 - Fax. 26 60 0</w:t>
      </w:r>
      <w:r w:rsidR="005149A5">
        <w:rPr>
          <w:sz w:val="24"/>
        </w:rPr>
        <w:t>2</w:t>
      </w:r>
    </w:p>
    <w:p w14:paraId="77DE5A24" w14:textId="77777777" w:rsidR="002F7C4C" w:rsidRDefault="002F7C4C" w:rsidP="00A27F4B">
      <w:pPr>
        <w:rPr>
          <w:sz w:val="24"/>
        </w:rPr>
      </w:pPr>
    </w:p>
    <w:p w14:paraId="283518C8" w14:textId="77777777" w:rsidR="00A27F4B" w:rsidRDefault="00A27F4B" w:rsidP="00A27F4B">
      <w:pPr>
        <w:rPr>
          <w:sz w:val="24"/>
        </w:rPr>
      </w:pPr>
    </w:p>
    <w:p w14:paraId="18047452" w14:textId="77777777" w:rsidR="00A27F4B" w:rsidRPr="00A27F4B" w:rsidRDefault="00A27F4B" w:rsidP="00A73A87">
      <w:pPr>
        <w:spacing w:after="0"/>
        <w:rPr>
          <w:b/>
          <w:sz w:val="24"/>
        </w:rPr>
      </w:pPr>
      <w:r w:rsidRPr="00A27F4B">
        <w:rPr>
          <w:b/>
          <w:sz w:val="24"/>
        </w:rPr>
        <w:t>Objet de l’appel d’offres :</w:t>
      </w:r>
    </w:p>
    <w:p w14:paraId="7DEF2216" w14:textId="2F0D7E40" w:rsidR="00A27F4B" w:rsidRPr="00A27F4B" w:rsidRDefault="00A27F4B" w:rsidP="00A73A87">
      <w:pPr>
        <w:spacing w:after="0"/>
        <w:jc w:val="both"/>
        <w:rPr>
          <w:sz w:val="24"/>
        </w:rPr>
      </w:pPr>
      <w:r w:rsidRPr="00A27F4B">
        <w:rPr>
          <w:sz w:val="24"/>
        </w:rPr>
        <w:t xml:space="preserve">Le Fonds Calédonien de l’Habitat (FCH), filiale du Fonds Social de l'Habitat (FSH), réalise des opérations de construction et de réhabilitation de logements locatifs sociaux en Nouvelle-Calédonie. Ces opérations sont en partie financées par l’intermédiaire des dispositifs fiscaux prévus par les articles 199 </w:t>
      </w:r>
      <w:proofErr w:type="spellStart"/>
      <w:r w:rsidRPr="00A27F4B">
        <w:rPr>
          <w:sz w:val="24"/>
        </w:rPr>
        <w:t>undecies</w:t>
      </w:r>
      <w:proofErr w:type="spellEnd"/>
      <w:r w:rsidRPr="00A27F4B">
        <w:rPr>
          <w:sz w:val="24"/>
        </w:rPr>
        <w:t xml:space="preserve"> C et </w:t>
      </w:r>
      <w:r w:rsidR="00545718">
        <w:rPr>
          <w:sz w:val="24"/>
        </w:rPr>
        <w:t>244 quarter Y</w:t>
      </w:r>
      <w:r w:rsidRPr="00A27F4B">
        <w:rPr>
          <w:sz w:val="24"/>
        </w:rPr>
        <w:t xml:space="preserve"> du Code général des impôts.</w:t>
      </w:r>
    </w:p>
    <w:p w14:paraId="110AA9C2" w14:textId="2F538DC6" w:rsidR="00026564" w:rsidRDefault="00171531" w:rsidP="00A73A87">
      <w:pPr>
        <w:spacing w:after="0"/>
        <w:jc w:val="both"/>
        <w:rPr>
          <w:sz w:val="24"/>
        </w:rPr>
      </w:pPr>
      <w:r w:rsidRPr="00171531">
        <w:rPr>
          <w:sz w:val="24"/>
        </w:rPr>
        <w:t xml:space="preserve">En application des dispositions de l’article 242 </w:t>
      </w:r>
      <w:proofErr w:type="spellStart"/>
      <w:r w:rsidRPr="00171531">
        <w:rPr>
          <w:sz w:val="24"/>
        </w:rPr>
        <w:t>septies</w:t>
      </w:r>
      <w:proofErr w:type="spellEnd"/>
      <w:r w:rsidRPr="00171531">
        <w:rPr>
          <w:sz w:val="24"/>
        </w:rPr>
        <w:t xml:space="preserve"> du Code général des impôts, le FCH entend sélectionner, après mise en concurrence, les entreprises (dites « </w:t>
      </w:r>
      <w:r w:rsidR="005F09D7">
        <w:rPr>
          <w:sz w:val="24"/>
        </w:rPr>
        <w:t>monteur</w:t>
      </w:r>
      <w:r w:rsidRPr="00171531">
        <w:rPr>
          <w:sz w:val="24"/>
        </w:rPr>
        <w:t xml:space="preserve">s ») dont l’activité est d’obtenir pour autrui les avantages fiscaux prévus aux articles 199 </w:t>
      </w:r>
      <w:proofErr w:type="spellStart"/>
      <w:r w:rsidRPr="00171531">
        <w:rPr>
          <w:sz w:val="24"/>
        </w:rPr>
        <w:t>undecies</w:t>
      </w:r>
      <w:proofErr w:type="spellEnd"/>
      <w:r w:rsidRPr="00171531">
        <w:rPr>
          <w:sz w:val="24"/>
        </w:rPr>
        <w:t xml:space="preserve"> C et </w:t>
      </w:r>
      <w:r w:rsidR="00545718">
        <w:rPr>
          <w:sz w:val="24"/>
        </w:rPr>
        <w:t>244 quarter Y</w:t>
      </w:r>
      <w:r w:rsidRPr="00171531">
        <w:rPr>
          <w:sz w:val="24"/>
        </w:rPr>
        <w:t xml:space="preserve"> du Code général des impôts. Ces entreprises seront sélectionnées dans le cadre d’une procédure d’appel d’offres ouvert pour la passation d’un accord-cadre.</w:t>
      </w:r>
    </w:p>
    <w:p w14:paraId="6E5D8F4E" w14:textId="77777777" w:rsidR="00026564" w:rsidRDefault="00026564">
      <w:pPr>
        <w:rPr>
          <w:sz w:val="24"/>
        </w:rPr>
        <w:sectPr w:rsidR="00026564" w:rsidSect="00232CC5">
          <w:footerReference w:type="default" r:id="rId9"/>
          <w:pgSz w:w="11906" w:h="16838"/>
          <w:pgMar w:top="1418" w:right="1418" w:bottom="1418" w:left="1418" w:header="709" w:footer="0" w:gutter="0"/>
          <w:cols w:space="708"/>
          <w:docGrid w:linePitch="360"/>
        </w:sectPr>
      </w:pPr>
    </w:p>
    <w:p w14:paraId="24E76C23" w14:textId="77777777" w:rsidR="00AB3648" w:rsidRDefault="00AB3648" w:rsidP="00AB3648">
      <w:pPr>
        <w:pStyle w:val="Titre"/>
        <w:rPr>
          <w:b/>
          <w:sz w:val="40"/>
        </w:rPr>
      </w:pPr>
      <w:r w:rsidRPr="00300439">
        <w:rPr>
          <w:b/>
          <w:sz w:val="40"/>
        </w:rPr>
        <w:lastRenderedPageBreak/>
        <w:t>SOMMAIRE</w:t>
      </w:r>
    </w:p>
    <w:p w14:paraId="5D2C5407" w14:textId="77777777" w:rsidR="00AB3648" w:rsidRPr="00AB3648" w:rsidRDefault="00AB3648" w:rsidP="00AB3648"/>
    <w:sdt>
      <w:sdtPr>
        <w:id w:val="-237639167"/>
        <w:docPartObj>
          <w:docPartGallery w:val="Table of Contents"/>
          <w:docPartUnique/>
        </w:docPartObj>
      </w:sdtPr>
      <w:sdtEndPr>
        <w:rPr>
          <w:b/>
          <w:bCs/>
        </w:rPr>
      </w:sdtEndPr>
      <w:sdtContent>
        <w:p w14:paraId="32044D8D" w14:textId="1EF637AA" w:rsidR="00B01C8D" w:rsidRDefault="00A73A87">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145312157" w:history="1">
            <w:r w:rsidR="00B01C8D" w:rsidRPr="00AD1BEB">
              <w:rPr>
                <w:rStyle w:val="Lienhypertexte"/>
                <w:noProof/>
              </w:rPr>
              <w:t>PARTIE 1 : Clauses relatives à l’accord-cadre</w:t>
            </w:r>
            <w:r w:rsidR="00B01C8D">
              <w:rPr>
                <w:noProof/>
                <w:webHidden/>
              </w:rPr>
              <w:tab/>
            </w:r>
            <w:r w:rsidR="00B01C8D">
              <w:rPr>
                <w:noProof/>
                <w:webHidden/>
              </w:rPr>
              <w:fldChar w:fldCharType="begin"/>
            </w:r>
            <w:r w:rsidR="00B01C8D">
              <w:rPr>
                <w:noProof/>
                <w:webHidden/>
              </w:rPr>
              <w:instrText xml:space="preserve"> PAGEREF _Toc145312157 \h </w:instrText>
            </w:r>
            <w:r w:rsidR="00B01C8D">
              <w:rPr>
                <w:noProof/>
                <w:webHidden/>
              </w:rPr>
            </w:r>
            <w:r w:rsidR="00B01C8D">
              <w:rPr>
                <w:noProof/>
                <w:webHidden/>
              </w:rPr>
              <w:fldChar w:fldCharType="separate"/>
            </w:r>
            <w:r w:rsidR="00B01C8D">
              <w:rPr>
                <w:noProof/>
                <w:webHidden/>
              </w:rPr>
              <w:t>4</w:t>
            </w:r>
            <w:r w:rsidR="00B01C8D">
              <w:rPr>
                <w:noProof/>
                <w:webHidden/>
              </w:rPr>
              <w:fldChar w:fldCharType="end"/>
            </w:r>
          </w:hyperlink>
        </w:p>
        <w:p w14:paraId="6A1FD6D6" w14:textId="715C1C0F" w:rsidR="00B01C8D" w:rsidRDefault="0009707E">
          <w:pPr>
            <w:pStyle w:val="TM2"/>
            <w:tabs>
              <w:tab w:val="right" w:leader="dot" w:pos="9060"/>
            </w:tabs>
            <w:rPr>
              <w:noProof/>
            </w:rPr>
          </w:pPr>
          <w:hyperlink w:anchor="_Toc145312158" w:history="1">
            <w:r w:rsidR="00B01C8D" w:rsidRPr="00AD1BEB">
              <w:rPr>
                <w:rStyle w:val="Lienhypertexte"/>
                <w:noProof/>
                <w:spacing w:val="5"/>
                <w:kern w:val="28"/>
              </w:rPr>
              <w:t>Article 1 – Objet et dispositions de l’accord-cadre</w:t>
            </w:r>
            <w:r w:rsidR="00B01C8D">
              <w:rPr>
                <w:noProof/>
                <w:webHidden/>
              </w:rPr>
              <w:tab/>
            </w:r>
            <w:r w:rsidR="00B01C8D">
              <w:rPr>
                <w:noProof/>
                <w:webHidden/>
              </w:rPr>
              <w:fldChar w:fldCharType="begin"/>
            </w:r>
            <w:r w:rsidR="00B01C8D">
              <w:rPr>
                <w:noProof/>
                <w:webHidden/>
              </w:rPr>
              <w:instrText xml:space="preserve"> PAGEREF _Toc145312158 \h </w:instrText>
            </w:r>
            <w:r w:rsidR="00B01C8D">
              <w:rPr>
                <w:noProof/>
                <w:webHidden/>
              </w:rPr>
            </w:r>
            <w:r w:rsidR="00B01C8D">
              <w:rPr>
                <w:noProof/>
                <w:webHidden/>
              </w:rPr>
              <w:fldChar w:fldCharType="separate"/>
            </w:r>
            <w:r w:rsidR="00B01C8D">
              <w:rPr>
                <w:noProof/>
                <w:webHidden/>
              </w:rPr>
              <w:t>4</w:t>
            </w:r>
            <w:r w:rsidR="00B01C8D">
              <w:rPr>
                <w:noProof/>
                <w:webHidden/>
              </w:rPr>
              <w:fldChar w:fldCharType="end"/>
            </w:r>
          </w:hyperlink>
        </w:p>
        <w:p w14:paraId="6281CDEB" w14:textId="1ACFC26A" w:rsidR="00B01C8D" w:rsidRDefault="0009707E">
          <w:pPr>
            <w:pStyle w:val="TM3"/>
            <w:tabs>
              <w:tab w:val="left" w:pos="880"/>
              <w:tab w:val="right" w:leader="dot" w:pos="9060"/>
            </w:tabs>
            <w:rPr>
              <w:noProof/>
            </w:rPr>
          </w:pPr>
          <w:hyperlink w:anchor="_Toc145312159" w:history="1">
            <w:r w:rsidR="00B01C8D" w:rsidRPr="00AD1BEB">
              <w:rPr>
                <w:rStyle w:val="Lienhypertexte"/>
                <w:noProof/>
              </w:rPr>
              <w:t>A.</w:t>
            </w:r>
            <w:r w:rsidR="00B01C8D">
              <w:rPr>
                <w:noProof/>
              </w:rPr>
              <w:tab/>
            </w:r>
            <w:r w:rsidR="00B01C8D" w:rsidRPr="00AD1BEB">
              <w:rPr>
                <w:rStyle w:val="Lienhypertexte"/>
                <w:noProof/>
              </w:rPr>
              <w:t>Objet de l’accord-cadre</w:t>
            </w:r>
            <w:r w:rsidR="00B01C8D">
              <w:rPr>
                <w:noProof/>
                <w:webHidden/>
              </w:rPr>
              <w:tab/>
            </w:r>
            <w:r w:rsidR="00B01C8D">
              <w:rPr>
                <w:noProof/>
                <w:webHidden/>
              </w:rPr>
              <w:fldChar w:fldCharType="begin"/>
            </w:r>
            <w:r w:rsidR="00B01C8D">
              <w:rPr>
                <w:noProof/>
                <w:webHidden/>
              </w:rPr>
              <w:instrText xml:space="preserve"> PAGEREF _Toc145312159 \h </w:instrText>
            </w:r>
            <w:r w:rsidR="00B01C8D">
              <w:rPr>
                <w:noProof/>
                <w:webHidden/>
              </w:rPr>
            </w:r>
            <w:r w:rsidR="00B01C8D">
              <w:rPr>
                <w:noProof/>
                <w:webHidden/>
              </w:rPr>
              <w:fldChar w:fldCharType="separate"/>
            </w:r>
            <w:r w:rsidR="00B01C8D">
              <w:rPr>
                <w:noProof/>
                <w:webHidden/>
              </w:rPr>
              <w:t>4</w:t>
            </w:r>
            <w:r w:rsidR="00B01C8D">
              <w:rPr>
                <w:noProof/>
                <w:webHidden/>
              </w:rPr>
              <w:fldChar w:fldCharType="end"/>
            </w:r>
          </w:hyperlink>
        </w:p>
        <w:p w14:paraId="28C5AC14" w14:textId="335CA741" w:rsidR="00B01C8D" w:rsidRDefault="0009707E">
          <w:pPr>
            <w:pStyle w:val="TM3"/>
            <w:tabs>
              <w:tab w:val="left" w:pos="880"/>
              <w:tab w:val="right" w:leader="dot" w:pos="9060"/>
            </w:tabs>
            <w:rPr>
              <w:noProof/>
            </w:rPr>
          </w:pPr>
          <w:hyperlink w:anchor="_Toc145312160" w:history="1">
            <w:r w:rsidR="00B01C8D" w:rsidRPr="00AD1BEB">
              <w:rPr>
                <w:rStyle w:val="Lienhypertexte"/>
                <w:noProof/>
              </w:rPr>
              <w:t>B.</w:t>
            </w:r>
            <w:r w:rsidR="00B01C8D">
              <w:rPr>
                <w:noProof/>
              </w:rPr>
              <w:tab/>
            </w:r>
            <w:r w:rsidR="00B01C8D" w:rsidRPr="00AD1BEB">
              <w:rPr>
                <w:rStyle w:val="Lienhypertexte"/>
                <w:noProof/>
              </w:rPr>
              <w:t>Durée de l’accord-cadre</w:t>
            </w:r>
            <w:r w:rsidR="00B01C8D">
              <w:rPr>
                <w:noProof/>
                <w:webHidden/>
              </w:rPr>
              <w:tab/>
            </w:r>
            <w:r w:rsidR="00B01C8D">
              <w:rPr>
                <w:noProof/>
                <w:webHidden/>
              </w:rPr>
              <w:fldChar w:fldCharType="begin"/>
            </w:r>
            <w:r w:rsidR="00B01C8D">
              <w:rPr>
                <w:noProof/>
                <w:webHidden/>
              </w:rPr>
              <w:instrText xml:space="preserve"> PAGEREF _Toc145312160 \h </w:instrText>
            </w:r>
            <w:r w:rsidR="00B01C8D">
              <w:rPr>
                <w:noProof/>
                <w:webHidden/>
              </w:rPr>
            </w:r>
            <w:r w:rsidR="00B01C8D">
              <w:rPr>
                <w:noProof/>
                <w:webHidden/>
              </w:rPr>
              <w:fldChar w:fldCharType="separate"/>
            </w:r>
            <w:r w:rsidR="00B01C8D">
              <w:rPr>
                <w:noProof/>
                <w:webHidden/>
              </w:rPr>
              <w:t>4</w:t>
            </w:r>
            <w:r w:rsidR="00B01C8D">
              <w:rPr>
                <w:noProof/>
                <w:webHidden/>
              </w:rPr>
              <w:fldChar w:fldCharType="end"/>
            </w:r>
          </w:hyperlink>
        </w:p>
        <w:p w14:paraId="426750D5" w14:textId="781B7EF7" w:rsidR="00B01C8D" w:rsidRDefault="0009707E">
          <w:pPr>
            <w:pStyle w:val="TM3"/>
            <w:tabs>
              <w:tab w:val="left" w:pos="880"/>
              <w:tab w:val="right" w:leader="dot" w:pos="9060"/>
            </w:tabs>
            <w:rPr>
              <w:noProof/>
            </w:rPr>
          </w:pPr>
          <w:hyperlink w:anchor="_Toc145312161" w:history="1">
            <w:r w:rsidR="00B01C8D" w:rsidRPr="00AD1BEB">
              <w:rPr>
                <w:rStyle w:val="Lienhypertexte"/>
                <w:noProof/>
              </w:rPr>
              <w:t>C.</w:t>
            </w:r>
            <w:r w:rsidR="00B01C8D">
              <w:rPr>
                <w:noProof/>
              </w:rPr>
              <w:tab/>
            </w:r>
            <w:r w:rsidR="00B01C8D" w:rsidRPr="00AD1BEB">
              <w:rPr>
                <w:rStyle w:val="Lienhypertexte"/>
                <w:noProof/>
              </w:rPr>
              <w:t>Nombre de titulaires</w:t>
            </w:r>
            <w:r w:rsidR="00B01C8D">
              <w:rPr>
                <w:noProof/>
                <w:webHidden/>
              </w:rPr>
              <w:tab/>
            </w:r>
            <w:r w:rsidR="00B01C8D">
              <w:rPr>
                <w:noProof/>
                <w:webHidden/>
              </w:rPr>
              <w:fldChar w:fldCharType="begin"/>
            </w:r>
            <w:r w:rsidR="00B01C8D">
              <w:rPr>
                <w:noProof/>
                <w:webHidden/>
              </w:rPr>
              <w:instrText xml:space="preserve"> PAGEREF _Toc145312161 \h </w:instrText>
            </w:r>
            <w:r w:rsidR="00B01C8D">
              <w:rPr>
                <w:noProof/>
                <w:webHidden/>
              </w:rPr>
            </w:r>
            <w:r w:rsidR="00B01C8D">
              <w:rPr>
                <w:noProof/>
                <w:webHidden/>
              </w:rPr>
              <w:fldChar w:fldCharType="separate"/>
            </w:r>
            <w:r w:rsidR="00B01C8D">
              <w:rPr>
                <w:noProof/>
                <w:webHidden/>
              </w:rPr>
              <w:t>4</w:t>
            </w:r>
            <w:r w:rsidR="00B01C8D">
              <w:rPr>
                <w:noProof/>
                <w:webHidden/>
              </w:rPr>
              <w:fldChar w:fldCharType="end"/>
            </w:r>
          </w:hyperlink>
        </w:p>
        <w:p w14:paraId="1094E5DB" w14:textId="592A57CF" w:rsidR="00B01C8D" w:rsidRDefault="0009707E">
          <w:pPr>
            <w:pStyle w:val="TM2"/>
            <w:tabs>
              <w:tab w:val="right" w:leader="dot" w:pos="9060"/>
            </w:tabs>
            <w:rPr>
              <w:noProof/>
            </w:rPr>
          </w:pPr>
          <w:hyperlink w:anchor="_Toc145312162" w:history="1">
            <w:r w:rsidR="00B01C8D" w:rsidRPr="00AD1BEB">
              <w:rPr>
                <w:rStyle w:val="Lienhypertexte"/>
                <w:noProof/>
                <w:spacing w:val="5"/>
                <w:kern w:val="28"/>
              </w:rPr>
              <w:t>Article 2 – Pièces contractuelles de l’accord-cadre</w:t>
            </w:r>
            <w:r w:rsidR="00B01C8D">
              <w:rPr>
                <w:noProof/>
                <w:webHidden/>
              </w:rPr>
              <w:tab/>
            </w:r>
            <w:r w:rsidR="00B01C8D">
              <w:rPr>
                <w:noProof/>
                <w:webHidden/>
              </w:rPr>
              <w:fldChar w:fldCharType="begin"/>
            </w:r>
            <w:r w:rsidR="00B01C8D">
              <w:rPr>
                <w:noProof/>
                <w:webHidden/>
              </w:rPr>
              <w:instrText xml:space="preserve"> PAGEREF _Toc145312162 \h </w:instrText>
            </w:r>
            <w:r w:rsidR="00B01C8D">
              <w:rPr>
                <w:noProof/>
                <w:webHidden/>
              </w:rPr>
            </w:r>
            <w:r w:rsidR="00B01C8D">
              <w:rPr>
                <w:noProof/>
                <w:webHidden/>
              </w:rPr>
              <w:fldChar w:fldCharType="separate"/>
            </w:r>
            <w:r w:rsidR="00B01C8D">
              <w:rPr>
                <w:noProof/>
                <w:webHidden/>
              </w:rPr>
              <w:t>5</w:t>
            </w:r>
            <w:r w:rsidR="00B01C8D">
              <w:rPr>
                <w:noProof/>
                <w:webHidden/>
              </w:rPr>
              <w:fldChar w:fldCharType="end"/>
            </w:r>
          </w:hyperlink>
        </w:p>
        <w:p w14:paraId="3B42BA4E" w14:textId="7479D797" w:rsidR="00B01C8D" w:rsidRDefault="0009707E">
          <w:pPr>
            <w:pStyle w:val="TM2"/>
            <w:tabs>
              <w:tab w:val="right" w:leader="dot" w:pos="9060"/>
            </w:tabs>
            <w:rPr>
              <w:noProof/>
            </w:rPr>
          </w:pPr>
          <w:hyperlink w:anchor="_Toc145312163" w:history="1">
            <w:r w:rsidR="00B01C8D" w:rsidRPr="00AD1BEB">
              <w:rPr>
                <w:rStyle w:val="Lienhypertexte"/>
                <w:noProof/>
                <w:spacing w:val="5"/>
                <w:kern w:val="28"/>
              </w:rPr>
              <w:t>Article 3 – Pièces contractuelles de chaque marché subséquent</w:t>
            </w:r>
            <w:r w:rsidR="00B01C8D">
              <w:rPr>
                <w:noProof/>
                <w:webHidden/>
              </w:rPr>
              <w:tab/>
            </w:r>
            <w:r w:rsidR="00B01C8D">
              <w:rPr>
                <w:noProof/>
                <w:webHidden/>
              </w:rPr>
              <w:fldChar w:fldCharType="begin"/>
            </w:r>
            <w:r w:rsidR="00B01C8D">
              <w:rPr>
                <w:noProof/>
                <w:webHidden/>
              </w:rPr>
              <w:instrText xml:space="preserve"> PAGEREF _Toc145312163 \h </w:instrText>
            </w:r>
            <w:r w:rsidR="00B01C8D">
              <w:rPr>
                <w:noProof/>
                <w:webHidden/>
              </w:rPr>
            </w:r>
            <w:r w:rsidR="00B01C8D">
              <w:rPr>
                <w:noProof/>
                <w:webHidden/>
              </w:rPr>
              <w:fldChar w:fldCharType="separate"/>
            </w:r>
            <w:r w:rsidR="00B01C8D">
              <w:rPr>
                <w:noProof/>
                <w:webHidden/>
              </w:rPr>
              <w:t>5</w:t>
            </w:r>
            <w:r w:rsidR="00B01C8D">
              <w:rPr>
                <w:noProof/>
                <w:webHidden/>
              </w:rPr>
              <w:fldChar w:fldCharType="end"/>
            </w:r>
          </w:hyperlink>
        </w:p>
        <w:p w14:paraId="09F22193" w14:textId="089615ED" w:rsidR="00B01C8D" w:rsidRDefault="0009707E">
          <w:pPr>
            <w:pStyle w:val="TM2"/>
            <w:tabs>
              <w:tab w:val="right" w:leader="dot" w:pos="9060"/>
            </w:tabs>
            <w:rPr>
              <w:noProof/>
            </w:rPr>
          </w:pPr>
          <w:hyperlink w:anchor="_Toc145312164" w:history="1">
            <w:r w:rsidR="00B01C8D" w:rsidRPr="00AD1BEB">
              <w:rPr>
                <w:rStyle w:val="Lienhypertexte"/>
                <w:noProof/>
                <w:spacing w:val="5"/>
                <w:kern w:val="28"/>
              </w:rPr>
              <w:t>Article 4 – Rétrocession</w:t>
            </w:r>
            <w:r w:rsidR="00B01C8D">
              <w:rPr>
                <w:noProof/>
                <w:webHidden/>
              </w:rPr>
              <w:tab/>
            </w:r>
            <w:r w:rsidR="00B01C8D">
              <w:rPr>
                <w:noProof/>
                <w:webHidden/>
              </w:rPr>
              <w:fldChar w:fldCharType="begin"/>
            </w:r>
            <w:r w:rsidR="00B01C8D">
              <w:rPr>
                <w:noProof/>
                <w:webHidden/>
              </w:rPr>
              <w:instrText xml:space="preserve"> PAGEREF _Toc145312164 \h </w:instrText>
            </w:r>
            <w:r w:rsidR="00B01C8D">
              <w:rPr>
                <w:noProof/>
                <w:webHidden/>
              </w:rPr>
            </w:r>
            <w:r w:rsidR="00B01C8D">
              <w:rPr>
                <w:noProof/>
                <w:webHidden/>
              </w:rPr>
              <w:fldChar w:fldCharType="separate"/>
            </w:r>
            <w:r w:rsidR="00B01C8D">
              <w:rPr>
                <w:noProof/>
                <w:webHidden/>
              </w:rPr>
              <w:t>6</w:t>
            </w:r>
            <w:r w:rsidR="00B01C8D">
              <w:rPr>
                <w:noProof/>
                <w:webHidden/>
              </w:rPr>
              <w:fldChar w:fldCharType="end"/>
            </w:r>
          </w:hyperlink>
        </w:p>
        <w:p w14:paraId="28FEB2B6" w14:textId="5E4A8A4F" w:rsidR="00B01C8D" w:rsidRDefault="0009707E">
          <w:pPr>
            <w:pStyle w:val="TM3"/>
            <w:tabs>
              <w:tab w:val="left" w:pos="880"/>
              <w:tab w:val="right" w:leader="dot" w:pos="9060"/>
            </w:tabs>
            <w:rPr>
              <w:noProof/>
            </w:rPr>
          </w:pPr>
          <w:hyperlink w:anchor="_Toc145312165" w:history="1">
            <w:r w:rsidR="00B01C8D" w:rsidRPr="00AD1BEB">
              <w:rPr>
                <w:rStyle w:val="Lienhypertexte"/>
                <w:noProof/>
              </w:rPr>
              <w:t>A.</w:t>
            </w:r>
            <w:r w:rsidR="00B01C8D">
              <w:rPr>
                <w:noProof/>
              </w:rPr>
              <w:tab/>
            </w:r>
            <w:r w:rsidR="00B01C8D" w:rsidRPr="00AD1BEB">
              <w:rPr>
                <w:rStyle w:val="Lienhypertexte"/>
                <w:noProof/>
              </w:rPr>
              <w:t>Montant de la rétrocession</w:t>
            </w:r>
            <w:r w:rsidR="00B01C8D">
              <w:rPr>
                <w:noProof/>
                <w:webHidden/>
              </w:rPr>
              <w:tab/>
            </w:r>
            <w:r w:rsidR="00B01C8D">
              <w:rPr>
                <w:noProof/>
                <w:webHidden/>
              </w:rPr>
              <w:fldChar w:fldCharType="begin"/>
            </w:r>
            <w:r w:rsidR="00B01C8D">
              <w:rPr>
                <w:noProof/>
                <w:webHidden/>
              </w:rPr>
              <w:instrText xml:space="preserve"> PAGEREF _Toc145312165 \h </w:instrText>
            </w:r>
            <w:r w:rsidR="00B01C8D">
              <w:rPr>
                <w:noProof/>
                <w:webHidden/>
              </w:rPr>
            </w:r>
            <w:r w:rsidR="00B01C8D">
              <w:rPr>
                <w:noProof/>
                <w:webHidden/>
              </w:rPr>
              <w:fldChar w:fldCharType="separate"/>
            </w:r>
            <w:r w:rsidR="00B01C8D">
              <w:rPr>
                <w:noProof/>
                <w:webHidden/>
              </w:rPr>
              <w:t>6</w:t>
            </w:r>
            <w:r w:rsidR="00B01C8D">
              <w:rPr>
                <w:noProof/>
                <w:webHidden/>
              </w:rPr>
              <w:fldChar w:fldCharType="end"/>
            </w:r>
          </w:hyperlink>
        </w:p>
        <w:p w14:paraId="4E1AAD55" w14:textId="0DFFDC74" w:rsidR="00B01C8D" w:rsidRDefault="0009707E">
          <w:pPr>
            <w:pStyle w:val="TM3"/>
            <w:tabs>
              <w:tab w:val="left" w:pos="880"/>
              <w:tab w:val="right" w:leader="dot" w:pos="9060"/>
            </w:tabs>
            <w:rPr>
              <w:noProof/>
            </w:rPr>
          </w:pPr>
          <w:hyperlink w:anchor="_Toc145312166" w:history="1">
            <w:r w:rsidR="00B01C8D" w:rsidRPr="00AD1BEB">
              <w:rPr>
                <w:rStyle w:val="Lienhypertexte"/>
                <w:noProof/>
              </w:rPr>
              <w:t>B.</w:t>
            </w:r>
            <w:r w:rsidR="00B01C8D">
              <w:rPr>
                <w:noProof/>
              </w:rPr>
              <w:tab/>
            </w:r>
            <w:r w:rsidR="00B01C8D" w:rsidRPr="00AD1BEB">
              <w:rPr>
                <w:rStyle w:val="Lienhypertexte"/>
                <w:noProof/>
              </w:rPr>
              <w:t>Modalités de versement de la rétrocession</w:t>
            </w:r>
            <w:r w:rsidR="00B01C8D">
              <w:rPr>
                <w:noProof/>
                <w:webHidden/>
              </w:rPr>
              <w:tab/>
            </w:r>
            <w:r w:rsidR="00B01C8D">
              <w:rPr>
                <w:noProof/>
                <w:webHidden/>
              </w:rPr>
              <w:fldChar w:fldCharType="begin"/>
            </w:r>
            <w:r w:rsidR="00B01C8D">
              <w:rPr>
                <w:noProof/>
                <w:webHidden/>
              </w:rPr>
              <w:instrText xml:space="preserve"> PAGEREF _Toc145312166 \h </w:instrText>
            </w:r>
            <w:r w:rsidR="00B01C8D">
              <w:rPr>
                <w:noProof/>
                <w:webHidden/>
              </w:rPr>
            </w:r>
            <w:r w:rsidR="00B01C8D">
              <w:rPr>
                <w:noProof/>
                <w:webHidden/>
              </w:rPr>
              <w:fldChar w:fldCharType="separate"/>
            </w:r>
            <w:r w:rsidR="00B01C8D">
              <w:rPr>
                <w:noProof/>
                <w:webHidden/>
              </w:rPr>
              <w:t>6</w:t>
            </w:r>
            <w:r w:rsidR="00B01C8D">
              <w:rPr>
                <w:noProof/>
                <w:webHidden/>
              </w:rPr>
              <w:fldChar w:fldCharType="end"/>
            </w:r>
          </w:hyperlink>
        </w:p>
        <w:p w14:paraId="70787F13" w14:textId="640274BC" w:rsidR="00B01C8D" w:rsidRDefault="0009707E">
          <w:pPr>
            <w:pStyle w:val="TM2"/>
            <w:tabs>
              <w:tab w:val="right" w:leader="dot" w:pos="9060"/>
            </w:tabs>
            <w:rPr>
              <w:noProof/>
            </w:rPr>
          </w:pPr>
          <w:hyperlink w:anchor="_Toc145312167" w:history="1">
            <w:r w:rsidR="00B01C8D" w:rsidRPr="00AD1BEB">
              <w:rPr>
                <w:rStyle w:val="Lienhypertexte"/>
                <w:noProof/>
                <w:spacing w:val="5"/>
                <w:kern w:val="28"/>
              </w:rPr>
              <w:t>Article 5 – Rémunération par les investisseurs du titulaire</w:t>
            </w:r>
            <w:r w:rsidR="00B01C8D">
              <w:rPr>
                <w:noProof/>
                <w:webHidden/>
              </w:rPr>
              <w:tab/>
            </w:r>
            <w:r w:rsidR="00B01C8D">
              <w:rPr>
                <w:noProof/>
                <w:webHidden/>
              </w:rPr>
              <w:fldChar w:fldCharType="begin"/>
            </w:r>
            <w:r w:rsidR="00B01C8D">
              <w:rPr>
                <w:noProof/>
                <w:webHidden/>
              </w:rPr>
              <w:instrText xml:space="preserve"> PAGEREF _Toc145312167 \h </w:instrText>
            </w:r>
            <w:r w:rsidR="00B01C8D">
              <w:rPr>
                <w:noProof/>
                <w:webHidden/>
              </w:rPr>
            </w:r>
            <w:r w:rsidR="00B01C8D">
              <w:rPr>
                <w:noProof/>
                <w:webHidden/>
              </w:rPr>
              <w:fldChar w:fldCharType="separate"/>
            </w:r>
            <w:r w:rsidR="00B01C8D">
              <w:rPr>
                <w:noProof/>
                <w:webHidden/>
              </w:rPr>
              <w:t>6</w:t>
            </w:r>
            <w:r w:rsidR="00B01C8D">
              <w:rPr>
                <w:noProof/>
                <w:webHidden/>
              </w:rPr>
              <w:fldChar w:fldCharType="end"/>
            </w:r>
          </w:hyperlink>
        </w:p>
        <w:p w14:paraId="59AFFD01" w14:textId="2D85DFBB" w:rsidR="00B01C8D" w:rsidRDefault="0009707E">
          <w:pPr>
            <w:pStyle w:val="TM3"/>
            <w:tabs>
              <w:tab w:val="left" w:pos="880"/>
              <w:tab w:val="right" w:leader="dot" w:pos="9060"/>
            </w:tabs>
            <w:rPr>
              <w:noProof/>
            </w:rPr>
          </w:pPr>
          <w:hyperlink w:anchor="_Toc145312168" w:history="1">
            <w:r w:rsidR="00B01C8D" w:rsidRPr="00AD1BEB">
              <w:rPr>
                <w:rStyle w:val="Lienhypertexte"/>
                <w:noProof/>
              </w:rPr>
              <w:t>A.</w:t>
            </w:r>
            <w:r w:rsidR="00B01C8D">
              <w:rPr>
                <w:noProof/>
              </w:rPr>
              <w:tab/>
            </w:r>
            <w:r w:rsidR="00B01C8D" w:rsidRPr="00AD1BEB">
              <w:rPr>
                <w:rStyle w:val="Lienhypertexte"/>
                <w:noProof/>
              </w:rPr>
              <w:t>Montant de la rémunération</w:t>
            </w:r>
            <w:r w:rsidR="00B01C8D">
              <w:rPr>
                <w:noProof/>
                <w:webHidden/>
              </w:rPr>
              <w:tab/>
            </w:r>
            <w:r w:rsidR="00B01C8D">
              <w:rPr>
                <w:noProof/>
                <w:webHidden/>
              </w:rPr>
              <w:fldChar w:fldCharType="begin"/>
            </w:r>
            <w:r w:rsidR="00B01C8D">
              <w:rPr>
                <w:noProof/>
                <w:webHidden/>
              </w:rPr>
              <w:instrText xml:space="preserve"> PAGEREF _Toc145312168 \h </w:instrText>
            </w:r>
            <w:r w:rsidR="00B01C8D">
              <w:rPr>
                <w:noProof/>
                <w:webHidden/>
              </w:rPr>
            </w:r>
            <w:r w:rsidR="00B01C8D">
              <w:rPr>
                <w:noProof/>
                <w:webHidden/>
              </w:rPr>
              <w:fldChar w:fldCharType="separate"/>
            </w:r>
            <w:r w:rsidR="00B01C8D">
              <w:rPr>
                <w:noProof/>
                <w:webHidden/>
              </w:rPr>
              <w:t>6</w:t>
            </w:r>
            <w:r w:rsidR="00B01C8D">
              <w:rPr>
                <w:noProof/>
                <w:webHidden/>
              </w:rPr>
              <w:fldChar w:fldCharType="end"/>
            </w:r>
          </w:hyperlink>
        </w:p>
        <w:p w14:paraId="4F89E801" w14:textId="56524405" w:rsidR="00B01C8D" w:rsidRDefault="0009707E">
          <w:pPr>
            <w:pStyle w:val="TM3"/>
            <w:tabs>
              <w:tab w:val="left" w:pos="880"/>
              <w:tab w:val="right" w:leader="dot" w:pos="9060"/>
            </w:tabs>
            <w:rPr>
              <w:noProof/>
            </w:rPr>
          </w:pPr>
          <w:hyperlink w:anchor="_Toc145312169" w:history="1">
            <w:r w:rsidR="00B01C8D" w:rsidRPr="00AD1BEB">
              <w:rPr>
                <w:rStyle w:val="Lienhypertexte"/>
                <w:noProof/>
              </w:rPr>
              <w:t>B.</w:t>
            </w:r>
            <w:r w:rsidR="00B01C8D">
              <w:rPr>
                <w:noProof/>
              </w:rPr>
              <w:tab/>
            </w:r>
            <w:r w:rsidR="00B01C8D" w:rsidRPr="00AD1BEB">
              <w:rPr>
                <w:rStyle w:val="Lienhypertexte"/>
                <w:noProof/>
              </w:rPr>
              <w:t>Modalités de rémunération</w:t>
            </w:r>
            <w:r w:rsidR="00B01C8D">
              <w:rPr>
                <w:noProof/>
                <w:webHidden/>
              </w:rPr>
              <w:tab/>
            </w:r>
            <w:r w:rsidR="00B01C8D">
              <w:rPr>
                <w:noProof/>
                <w:webHidden/>
              </w:rPr>
              <w:fldChar w:fldCharType="begin"/>
            </w:r>
            <w:r w:rsidR="00B01C8D">
              <w:rPr>
                <w:noProof/>
                <w:webHidden/>
              </w:rPr>
              <w:instrText xml:space="preserve"> PAGEREF _Toc145312169 \h </w:instrText>
            </w:r>
            <w:r w:rsidR="00B01C8D">
              <w:rPr>
                <w:noProof/>
                <w:webHidden/>
              </w:rPr>
            </w:r>
            <w:r w:rsidR="00B01C8D">
              <w:rPr>
                <w:noProof/>
                <w:webHidden/>
              </w:rPr>
              <w:fldChar w:fldCharType="separate"/>
            </w:r>
            <w:r w:rsidR="00B01C8D">
              <w:rPr>
                <w:noProof/>
                <w:webHidden/>
              </w:rPr>
              <w:t>7</w:t>
            </w:r>
            <w:r w:rsidR="00B01C8D">
              <w:rPr>
                <w:noProof/>
                <w:webHidden/>
              </w:rPr>
              <w:fldChar w:fldCharType="end"/>
            </w:r>
          </w:hyperlink>
        </w:p>
        <w:p w14:paraId="789643A1" w14:textId="77FA34EB" w:rsidR="00B01C8D" w:rsidRDefault="0009707E">
          <w:pPr>
            <w:pStyle w:val="TM2"/>
            <w:tabs>
              <w:tab w:val="right" w:leader="dot" w:pos="9060"/>
            </w:tabs>
            <w:rPr>
              <w:noProof/>
            </w:rPr>
          </w:pPr>
          <w:hyperlink w:anchor="_Toc145312170" w:history="1">
            <w:r w:rsidR="00B01C8D" w:rsidRPr="00AD1BEB">
              <w:rPr>
                <w:rStyle w:val="Lienhypertexte"/>
                <w:noProof/>
                <w:spacing w:val="5"/>
                <w:kern w:val="28"/>
              </w:rPr>
              <w:t>Article 6 – Résiliation de l’accord-cadre</w:t>
            </w:r>
            <w:r w:rsidR="00B01C8D">
              <w:rPr>
                <w:noProof/>
                <w:webHidden/>
              </w:rPr>
              <w:tab/>
            </w:r>
            <w:r w:rsidR="00B01C8D">
              <w:rPr>
                <w:noProof/>
                <w:webHidden/>
              </w:rPr>
              <w:fldChar w:fldCharType="begin"/>
            </w:r>
            <w:r w:rsidR="00B01C8D">
              <w:rPr>
                <w:noProof/>
                <w:webHidden/>
              </w:rPr>
              <w:instrText xml:space="preserve"> PAGEREF _Toc145312170 \h </w:instrText>
            </w:r>
            <w:r w:rsidR="00B01C8D">
              <w:rPr>
                <w:noProof/>
                <w:webHidden/>
              </w:rPr>
            </w:r>
            <w:r w:rsidR="00B01C8D">
              <w:rPr>
                <w:noProof/>
                <w:webHidden/>
              </w:rPr>
              <w:fldChar w:fldCharType="separate"/>
            </w:r>
            <w:r w:rsidR="00B01C8D">
              <w:rPr>
                <w:noProof/>
                <w:webHidden/>
              </w:rPr>
              <w:t>7</w:t>
            </w:r>
            <w:r w:rsidR="00B01C8D">
              <w:rPr>
                <w:noProof/>
                <w:webHidden/>
              </w:rPr>
              <w:fldChar w:fldCharType="end"/>
            </w:r>
          </w:hyperlink>
        </w:p>
        <w:p w14:paraId="37AD6C74" w14:textId="0D610DE8" w:rsidR="00B01C8D" w:rsidRDefault="0009707E">
          <w:pPr>
            <w:pStyle w:val="TM3"/>
            <w:tabs>
              <w:tab w:val="left" w:pos="880"/>
              <w:tab w:val="right" w:leader="dot" w:pos="9060"/>
            </w:tabs>
            <w:rPr>
              <w:noProof/>
            </w:rPr>
          </w:pPr>
          <w:hyperlink w:anchor="_Toc145312171" w:history="1">
            <w:r w:rsidR="00B01C8D" w:rsidRPr="00AD1BEB">
              <w:rPr>
                <w:rStyle w:val="Lienhypertexte"/>
                <w:noProof/>
              </w:rPr>
              <w:t>A.</w:t>
            </w:r>
            <w:r w:rsidR="00B01C8D">
              <w:rPr>
                <w:noProof/>
              </w:rPr>
              <w:tab/>
            </w:r>
            <w:r w:rsidR="00B01C8D" w:rsidRPr="00AD1BEB">
              <w:rPr>
                <w:rStyle w:val="Lienhypertexte"/>
                <w:noProof/>
              </w:rPr>
              <w:t>Résiliation à la demande du FCH ou du titulaire</w:t>
            </w:r>
            <w:r w:rsidR="00B01C8D">
              <w:rPr>
                <w:noProof/>
                <w:webHidden/>
              </w:rPr>
              <w:tab/>
            </w:r>
            <w:r w:rsidR="00B01C8D">
              <w:rPr>
                <w:noProof/>
                <w:webHidden/>
              </w:rPr>
              <w:fldChar w:fldCharType="begin"/>
            </w:r>
            <w:r w:rsidR="00B01C8D">
              <w:rPr>
                <w:noProof/>
                <w:webHidden/>
              </w:rPr>
              <w:instrText xml:space="preserve"> PAGEREF _Toc145312171 \h </w:instrText>
            </w:r>
            <w:r w:rsidR="00B01C8D">
              <w:rPr>
                <w:noProof/>
                <w:webHidden/>
              </w:rPr>
            </w:r>
            <w:r w:rsidR="00B01C8D">
              <w:rPr>
                <w:noProof/>
                <w:webHidden/>
              </w:rPr>
              <w:fldChar w:fldCharType="separate"/>
            </w:r>
            <w:r w:rsidR="00B01C8D">
              <w:rPr>
                <w:noProof/>
                <w:webHidden/>
              </w:rPr>
              <w:t>7</w:t>
            </w:r>
            <w:r w:rsidR="00B01C8D">
              <w:rPr>
                <w:noProof/>
                <w:webHidden/>
              </w:rPr>
              <w:fldChar w:fldCharType="end"/>
            </w:r>
          </w:hyperlink>
        </w:p>
        <w:p w14:paraId="13266673" w14:textId="060E0F68" w:rsidR="00B01C8D" w:rsidRDefault="0009707E">
          <w:pPr>
            <w:pStyle w:val="TM3"/>
            <w:tabs>
              <w:tab w:val="left" w:pos="880"/>
              <w:tab w:val="right" w:leader="dot" w:pos="9060"/>
            </w:tabs>
            <w:rPr>
              <w:noProof/>
            </w:rPr>
          </w:pPr>
          <w:hyperlink w:anchor="_Toc145312172" w:history="1">
            <w:r w:rsidR="00B01C8D" w:rsidRPr="00AD1BEB">
              <w:rPr>
                <w:rStyle w:val="Lienhypertexte"/>
                <w:noProof/>
              </w:rPr>
              <w:t>B.</w:t>
            </w:r>
            <w:r w:rsidR="00B01C8D">
              <w:rPr>
                <w:noProof/>
              </w:rPr>
              <w:tab/>
            </w:r>
            <w:r w:rsidR="00B01C8D" w:rsidRPr="00AD1BEB">
              <w:rPr>
                <w:rStyle w:val="Lienhypertexte"/>
                <w:noProof/>
              </w:rPr>
              <w:t>Résiliation pour faute du titulaire</w:t>
            </w:r>
            <w:r w:rsidR="00B01C8D">
              <w:rPr>
                <w:noProof/>
                <w:webHidden/>
              </w:rPr>
              <w:tab/>
            </w:r>
            <w:r w:rsidR="00B01C8D">
              <w:rPr>
                <w:noProof/>
                <w:webHidden/>
              </w:rPr>
              <w:fldChar w:fldCharType="begin"/>
            </w:r>
            <w:r w:rsidR="00B01C8D">
              <w:rPr>
                <w:noProof/>
                <w:webHidden/>
              </w:rPr>
              <w:instrText xml:space="preserve"> PAGEREF _Toc145312172 \h </w:instrText>
            </w:r>
            <w:r w:rsidR="00B01C8D">
              <w:rPr>
                <w:noProof/>
                <w:webHidden/>
              </w:rPr>
            </w:r>
            <w:r w:rsidR="00B01C8D">
              <w:rPr>
                <w:noProof/>
                <w:webHidden/>
              </w:rPr>
              <w:fldChar w:fldCharType="separate"/>
            </w:r>
            <w:r w:rsidR="00B01C8D">
              <w:rPr>
                <w:noProof/>
                <w:webHidden/>
              </w:rPr>
              <w:t>8</w:t>
            </w:r>
            <w:r w:rsidR="00B01C8D">
              <w:rPr>
                <w:noProof/>
                <w:webHidden/>
              </w:rPr>
              <w:fldChar w:fldCharType="end"/>
            </w:r>
          </w:hyperlink>
        </w:p>
        <w:p w14:paraId="4335081E" w14:textId="14AAE0A9" w:rsidR="00B01C8D" w:rsidRDefault="0009707E">
          <w:pPr>
            <w:pStyle w:val="TM1"/>
            <w:tabs>
              <w:tab w:val="right" w:leader="dot" w:pos="9060"/>
            </w:tabs>
            <w:rPr>
              <w:rFonts w:eastAsiaTheme="minorEastAsia"/>
              <w:noProof/>
              <w:lang w:eastAsia="fr-FR"/>
            </w:rPr>
          </w:pPr>
          <w:hyperlink w:anchor="_Toc145312173" w:history="1">
            <w:r w:rsidR="00B01C8D" w:rsidRPr="00AD1BEB">
              <w:rPr>
                <w:rStyle w:val="Lienhypertexte"/>
                <w:noProof/>
              </w:rPr>
              <w:t>PARTIE 2 : Clauses relatives aux marchés subséquents</w:t>
            </w:r>
            <w:r w:rsidR="00B01C8D">
              <w:rPr>
                <w:noProof/>
                <w:webHidden/>
              </w:rPr>
              <w:tab/>
            </w:r>
            <w:r w:rsidR="00B01C8D">
              <w:rPr>
                <w:noProof/>
                <w:webHidden/>
              </w:rPr>
              <w:fldChar w:fldCharType="begin"/>
            </w:r>
            <w:r w:rsidR="00B01C8D">
              <w:rPr>
                <w:noProof/>
                <w:webHidden/>
              </w:rPr>
              <w:instrText xml:space="preserve"> PAGEREF _Toc145312173 \h </w:instrText>
            </w:r>
            <w:r w:rsidR="00B01C8D">
              <w:rPr>
                <w:noProof/>
                <w:webHidden/>
              </w:rPr>
            </w:r>
            <w:r w:rsidR="00B01C8D">
              <w:rPr>
                <w:noProof/>
                <w:webHidden/>
              </w:rPr>
              <w:fldChar w:fldCharType="separate"/>
            </w:r>
            <w:r w:rsidR="00B01C8D">
              <w:rPr>
                <w:noProof/>
                <w:webHidden/>
              </w:rPr>
              <w:t>9</w:t>
            </w:r>
            <w:r w:rsidR="00B01C8D">
              <w:rPr>
                <w:noProof/>
                <w:webHidden/>
              </w:rPr>
              <w:fldChar w:fldCharType="end"/>
            </w:r>
          </w:hyperlink>
        </w:p>
        <w:p w14:paraId="64854588" w14:textId="23FF7A9A" w:rsidR="00B01C8D" w:rsidRDefault="0009707E">
          <w:pPr>
            <w:pStyle w:val="TM2"/>
            <w:tabs>
              <w:tab w:val="right" w:leader="dot" w:pos="9060"/>
            </w:tabs>
            <w:rPr>
              <w:noProof/>
            </w:rPr>
          </w:pPr>
          <w:hyperlink w:anchor="_Toc145312174" w:history="1">
            <w:r w:rsidR="00B01C8D" w:rsidRPr="00AD1BEB">
              <w:rPr>
                <w:rStyle w:val="Lienhypertexte"/>
                <w:noProof/>
                <w:spacing w:val="5"/>
                <w:kern w:val="28"/>
              </w:rPr>
              <w:t>Article 7 – Prestations relatives aux marchés subséquents</w:t>
            </w:r>
            <w:r w:rsidR="00B01C8D">
              <w:rPr>
                <w:noProof/>
                <w:webHidden/>
              </w:rPr>
              <w:tab/>
            </w:r>
            <w:r w:rsidR="00B01C8D">
              <w:rPr>
                <w:noProof/>
                <w:webHidden/>
              </w:rPr>
              <w:fldChar w:fldCharType="begin"/>
            </w:r>
            <w:r w:rsidR="00B01C8D">
              <w:rPr>
                <w:noProof/>
                <w:webHidden/>
              </w:rPr>
              <w:instrText xml:space="preserve"> PAGEREF _Toc145312174 \h </w:instrText>
            </w:r>
            <w:r w:rsidR="00B01C8D">
              <w:rPr>
                <w:noProof/>
                <w:webHidden/>
              </w:rPr>
            </w:r>
            <w:r w:rsidR="00B01C8D">
              <w:rPr>
                <w:noProof/>
                <w:webHidden/>
              </w:rPr>
              <w:fldChar w:fldCharType="separate"/>
            </w:r>
            <w:r w:rsidR="00B01C8D">
              <w:rPr>
                <w:noProof/>
                <w:webHidden/>
              </w:rPr>
              <w:t>9</w:t>
            </w:r>
            <w:r w:rsidR="00B01C8D">
              <w:rPr>
                <w:noProof/>
                <w:webHidden/>
              </w:rPr>
              <w:fldChar w:fldCharType="end"/>
            </w:r>
          </w:hyperlink>
        </w:p>
        <w:p w14:paraId="67C95C0E" w14:textId="65CB6543" w:rsidR="00B01C8D" w:rsidRDefault="0009707E">
          <w:pPr>
            <w:pStyle w:val="TM3"/>
            <w:tabs>
              <w:tab w:val="left" w:pos="880"/>
              <w:tab w:val="right" w:leader="dot" w:pos="9060"/>
            </w:tabs>
            <w:rPr>
              <w:noProof/>
            </w:rPr>
          </w:pPr>
          <w:hyperlink w:anchor="_Toc145312175" w:history="1">
            <w:r w:rsidR="00B01C8D" w:rsidRPr="00AD1BEB">
              <w:rPr>
                <w:rStyle w:val="Lienhypertexte"/>
                <w:noProof/>
              </w:rPr>
              <w:t>A.</w:t>
            </w:r>
            <w:r w:rsidR="00B01C8D">
              <w:rPr>
                <w:noProof/>
              </w:rPr>
              <w:tab/>
            </w:r>
            <w:r w:rsidR="00B01C8D" w:rsidRPr="00AD1BEB">
              <w:rPr>
                <w:rStyle w:val="Lienhypertexte"/>
                <w:noProof/>
              </w:rPr>
              <w:t>Phase n°1 : montage et structuration de l’opération</w:t>
            </w:r>
            <w:r w:rsidR="00B01C8D">
              <w:rPr>
                <w:noProof/>
                <w:webHidden/>
              </w:rPr>
              <w:tab/>
            </w:r>
            <w:r w:rsidR="00B01C8D">
              <w:rPr>
                <w:noProof/>
                <w:webHidden/>
              </w:rPr>
              <w:fldChar w:fldCharType="begin"/>
            </w:r>
            <w:r w:rsidR="00B01C8D">
              <w:rPr>
                <w:noProof/>
                <w:webHidden/>
              </w:rPr>
              <w:instrText xml:space="preserve"> PAGEREF _Toc145312175 \h </w:instrText>
            </w:r>
            <w:r w:rsidR="00B01C8D">
              <w:rPr>
                <w:noProof/>
                <w:webHidden/>
              </w:rPr>
            </w:r>
            <w:r w:rsidR="00B01C8D">
              <w:rPr>
                <w:noProof/>
                <w:webHidden/>
              </w:rPr>
              <w:fldChar w:fldCharType="separate"/>
            </w:r>
            <w:r w:rsidR="00B01C8D">
              <w:rPr>
                <w:noProof/>
                <w:webHidden/>
              </w:rPr>
              <w:t>9</w:t>
            </w:r>
            <w:r w:rsidR="00B01C8D">
              <w:rPr>
                <w:noProof/>
                <w:webHidden/>
              </w:rPr>
              <w:fldChar w:fldCharType="end"/>
            </w:r>
          </w:hyperlink>
        </w:p>
        <w:p w14:paraId="32DD6346" w14:textId="42962355" w:rsidR="00B01C8D" w:rsidRDefault="0009707E">
          <w:pPr>
            <w:pStyle w:val="TM3"/>
            <w:tabs>
              <w:tab w:val="left" w:pos="880"/>
              <w:tab w:val="right" w:leader="dot" w:pos="9060"/>
            </w:tabs>
            <w:rPr>
              <w:noProof/>
            </w:rPr>
          </w:pPr>
          <w:hyperlink w:anchor="_Toc145312176" w:history="1">
            <w:r w:rsidR="00B01C8D" w:rsidRPr="00AD1BEB">
              <w:rPr>
                <w:rStyle w:val="Lienhypertexte"/>
                <w:noProof/>
              </w:rPr>
              <w:t>B.</w:t>
            </w:r>
            <w:r w:rsidR="00B01C8D">
              <w:rPr>
                <w:noProof/>
              </w:rPr>
              <w:tab/>
            </w:r>
            <w:r w:rsidR="00B01C8D" w:rsidRPr="00AD1BEB">
              <w:rPr>
                <w:rStyle w:val="Lienhypertexte"/>
                <w:noProof/>
              </w:rPr>
              <w:t>Phase n°2 : syndication et placement de l’opération</w:t>
            </w:r>
            <w:r w:rsidR="00B01C8D">
              <w:rPr>
                <w:noProof/>
                <w:webHidden/>
              </w:rPr>
              <w:tab/>
            </w:r>
            <w:r w:rsidR="00B01C8D">
              <w:rPr>
                <w:noProof/>
                <w:webHidden/>
              </w:rPr>
              <w:fldChar w:fldCharType="begin"/>
            </w:r>
            <w:r w:rsidR="00B01C8D">
              <w:rPr>
                <w:noProof/>
                <w:webHidden/>
              </w:rPr>
              <w:instrText xml:space="preserve"> PAGEREF _Toc145312176 \h </w:instrText>
            </w:r>
            <w:r w:rsidR="00B01C8D">
              <w:rPr>
                <w:noProof/>
                <w:webHidden/>
              </w:rPr>
            </w:r>
            <w:r w:rsidR="00B01C8D">
              <w:rPr>
                <w:noProof/>
                <w:webHidden/>
              </w:rPr>
              <w:fldChar w:fldCharType="separate"/>
            </w:r>
            <w:r w:rsidR="00B01C8D">
              <w:rPr>
                <w:noProof/>
                <w:webHidden/>
              </w:rPr>
              <w:t>9</w:t>
            </w:r>
            <w:r w:rsidR="00B01C8D">
              <w:rPr>
                <w:noProof/>
                <w:webHidden/>
              </w:rPr>
              <w:fldChar w:fldCharType="end"/>
            </w:r>
          </w:hyperlink>
        </w:p>
        <w:p w14:paraId="72363444" w14:textId="7BDD511D" w:rsidR="00B01C8D" w:rsidRDefault="0009707E">
          <w:pPr>
            <w:pStyle w:val="TM3"/>
            <w:tabs>
              <w:tab w:val="left" w:pos="880"/>
              <w:tab w:val="right" w:leader="dot" w:pos="9060"/>
            </w:tabs>
            <w:rPr>
              <w:noProof/>
            </w:rPr>
          </w:pPr>
          <w:hyperlink w:anchor="_Toc145312177" w:history="1">
            <w:r w:rsidR="00B01C8D" w:rsidRPr="00AD1BEB">
              <w:rPr>
                <w:rStyle w:val="Lienhypertexte"/>
                <w:noProof/>
              </w:rPr>
              <w:t>C.</w:t>
            </w:r>
            <w:r w:rsidR="00B01C8D">
              <w:rPr>
                <w:noProof/>
              </w:rPr>
              <w:tab/>
            </w:r>
            <w:r w:rsidR="00B01C8D" w:rsidRPr="00AD1BEB">
              <w:rPr>
                <w:rStyle w:val="Lienhypertexte"/>
                <w:noProof/>
              </w:rPr>
              <w:t>Phase n°3 : gestion de la structure de portage et suivi des relations avec les investisseurs métropolitains</w:t>
            </w:r>
            <w:r w:rsidR="00B01C8D">
              <w:rPr>
                <w:noProof/>
                <w:webHidden/>
              </w:rPr>
              <w:tab/>
            </w:r>
            <w:r w:rsidR="00B01C8D">
              <w:rPr>
                <w:noProof/>
                <w:webHidden/>
              </w:rPr>
              <w:fldChar w:fldCharType="begin"/>
            </w:r>
            <w:r w:rsidR="00B01C8D">
              <w:rPr>
                <w:noProof/>
                <w:webHidden/>
              </w:rPr>
              <w:instrText xml:space="preserve"> PAGEREF _Toc145312177 \h </w:instrText>
            </w:r>
            <w:r w:rsidR="00B01C8D">
              <w:rPr>
                <w:noProof/>
                <w:webHidden/>
              </w:rPr>
            </w:r>
            <w:r w:rsidR="00B01C8D">
              <w:rPr>
                <w:noProof/>
                <w:webHidden/>
              </w:rPr>
              <w:fldChar w:fldCharType="separate"/>
            </w:r>
            <w:r w:rsidR="00B01C8D">
              <w:rPr>
                <w:noProof/>
                <w:webHidden/>
              </w:rPr>
              <w:t>10</w:t>
            </w:r>
            <w:r w:rsidR="00B01C8D">
              <w:rPr>
                <w:noProof/>
                <w:webHidden/>
              </w:rPr>
              <w:fldChar w:fldCharType="end"/>
            </w:r>
          </w:hyperlink>
        </w:p>
        <w:p w14:paraId="24800B9E" w14:textId="2E04B2F6" w:rsidR="00B01C8D" w:rsidRDefault="0009707E">
          <w:pPr>
            <w:pStyle w:val="TM3"/>
            <w:tabs>
              <w:tab w:val="left" w:pos="880"/>
              <w:tab w:val="right" w:leader="dot" w:pos="9060"/>
            </w:tabs>
            <w:rPr>
              <w:noProof/>
            </w:rPr>
          </w:pPr>
          <w:hyperlink w:anchor="_Toc145312178" w:history="1">
            <w:r w:rsidR="00B01C8D" w:rsidRPr="00AD1BEB">
              <w:rPr>
                <w:rStyle w:val="Lienhypertexte"/>
                <w:noProof/>
              </w:rPr>
              <w:t>D.</w:t>
            </w:r>
            <w:r w:rsidR="00B01C8D">
              <w:rPr>
                <w:noProof/>
              </w:rPr>
              <w:tab/>
            </w:r>
            <w:r w:rsidR="00B01C8D" w:rsidRPr="00AD1BEB">
              <w:rPr>
                <w:rStyle w:val="Lienhypertexte"/>
                <w:noProof/>
              </w:rPr>
              <w:t>Phase n°4 : débouclage de l’opération</w:t>
            </w:r>
            <w:r w:rsidR="00B01C8D">
              <w:rPr>
                <w:noProof/>
                <w:webHidden/>
              </w:rPr>
              <w:tab/>
            </w:r>
            <w:r w:rsidR="00B01C8D">
              <w:rPr>
                <w:noProof/>
                <w:webHidden/>
              </w:rPr>
              <w:fldChar w:fldCharType="begin"/>
            </w:r>
            <w:r w:rsidR="00B01C8D">
              <w:rPr>
                <w:noProof/>
                <w:webHidden/>
              </w:rPr>
              <w:instrText xml:space="preserve"> PAGEREF _Toc145312178 \h </w:instrText>
            </w:r>
            <w:r w:rsidR="00B01C8D">
              <w:rPr>
                <w:noProof/>
                <w:webHidden/>
              </w:rPr>
            </w:r>
            <w:r w:rsidR="00B01C8D">
              <w:rPr>
                <w:noProof/>
                <w:webHidden/>
              </w:rPr>
              <w:fldChar w:fldCharType="separate"/>
            </w:r>
            <w:r w:rsidR="00B01C8D">
              <w:rPr>
                <w:noProof/>
                <w:webHidden/>
              </w:rPr>
              <w:t>10</w:t>
            </w:r>
            <w:r w:rsidR="00B01C8D">
              <w:rPr>
                <w:noProof/>
                <w:webHidden/>
              </w:rPr>
              <w:fldChar w:fldCharType="end"/>
            </w:r>
          </w:hyperlink>
        </w:p>
        <w:p w14:paraId="5F4A6A10" w14:textId="1279904B" w:rsidR="00B01C8D" w:rsidRDefault="0009707E">
          <w:pPr>
            <w:pStyle w:val="TM3"/>
            <w:tabs>
              <w:tab w:val="left" w:pos="880"/>
              <w:tab w:val="right" w:leader="dot" w:pos="9060"/>
            </w:tabs>
            <w:rPr>
              <w:noProof/>
            </w:rPr>
          </w:pPr>
          <w:hyperlink w:anchor="_Toc145312179" w:history="1">
            <w:r w:rsidR="00B01C8D" w:rsidRPr="00AD1BEB">
              <w:rPr>
                <w:rStyle w:val="Lienhypertexte"/>
                <w:noProof/>
              </w:rPr>
              <w:t>E.</w:t>
            </w:r>
            <w:r w:rsidR="00B01C8D">
              <w:rPr>
                <w:noProof/>
              </w:rPr>
              <w:tab/>
            </w:r>
            <w:r w:rsidR="00B01C8D" w:rsidRPr="00AD1BEB">
              <w:rPr>
                <w:rStyle w:val="Lienhypertexte"/>
                <w:noProof/>
              </w:rPr>
              <w:t>Réunions</w:t>
            </w:r>
            <w:r w:rsidR="00B01C8D">
              <w:rPr>
                <w:noProof/>
                <w:webHidden/>
              </w:rPr>
              <w:tab/>
            </w:r>
            <w:r w:rsidR="00B01C8D">
              <w:rPr>
                <w:noProof/>
                <w:webHidden/>
              </w:rPr>
              <w:fldChar w:fldCharType="begin"/>
            </w:r>
            <w:r w:rsidR="00B01C8D">
              <w:rPr>
                <w:noProof/>
                <w:webHidden/>
              </w:rPr>
              <w:instrText xml:space="preserve"> PAGEREF _Toc145312179 \h </w:instrText>
            </w:r>
            <w:r w:rsidR="00B01C8D">
              <w:rPr>
                <w:noProof/>
                <w:webHidden/>
              </w:rPr>
            </w:r>
            <w:r w:rsidR="00B01C8D">
              <w:rPr>
                <w:noProof/>
                <w:webHidden/>
              </w:rPr>
              <w:fldChar w:fldCharType="separate"/>
            </w:r>
            <w:r w:rsidR="00B01C8D">
              <w:rPr>
                <w:noProof/>
                <w:webHidden/>
              </w:rPr>
              <w:t>10</w:t>
            </w:r>
            <w:r w:rsidR="00B01C8D">
              <w:rPr>
                <w:noProof/>
                <w:webHidden/>
              </w:rPr>
              <w:fldChar w:fldCharType="end"/>
            </w:r>
          </w:hyperlink>
        </w:p>
        <w:p w14:paraId="44D3D475" w14:textId="55D073D5" w:rsidR="00B01C8D" w:rsidRDefault="0009707E">
          <w:pPr>
            <w:pStyle w:val="TM2"/>
            <w:tabs>
              <w:tab w:val="right" w:leader="dot" w:pos="9060"/>
            </w:tabs>
            <w:rPr>
              <w:noProof/>
            </w:rPr>
          </w:pPr>
          <w:hyperlink w:anchor="_Toc145312180" w:history="1">
            <w:r w:rsidR="00B01C8D" w:rsidRPr="00AD1BEB">
              <w:rPr>
                <w:rStyle w:val="Lienhypertexte"/>
                <w:noProof/>
                <w:spacing w:val="5"/>
                <w:kern w:val="28"/>
              </w:rPr>
              <w:t>Article 8 – Modalités d’attribution des marchés subséquents</w:t>
            </w:r>
            <w:r w:rsidR="00B01C8D">
              <w:rPr>
                <w:noProof/>
                <w:webHidden/>
              </w:rPr>
              <w:tab/>
            </w:r>
            <w:r w:rsidR="00B01C8D">
              <w:rPr>
                <w:noProof/>
                <w:webHidden/>
              </w:rPr>
              <w:fldChar w:fldCharType="begin"/>
            </w:r>
            <w:r w:rsidR="00B01C8D">
              <w:rPr>
                <w:noProof/>
                <w:webHidden/>
              </w:rPr>
              <w:instrText xml:space="preserve"> PAGEREF _Toc145312180 \h </w:instrText>
            </w:r>
            <w:r w:rsidR="00B01C8D">
              <w:rPr>
                <w:noProof/>
                <w:webHidden/>
              </w:rPr>
            </w:r>
            <w:r w:rsidR="00B01C8D">
              <w:rPr>
                <w:noProof/>
                <w:webHidden/>
              </w:rPr>
              <w:fldChar w:fldCharType="separate"/>
            </w:r>
            <w:r w:rsidR="00B01C8D">
              <w:rPr>
                <w:noProof/>
                <w:webHidden/>
              </w:rPr>
              <w:t>11</w:t>
            </w:r>
            <w:r w:rsidR="00B01C8D">
              <w:rPr>
                <w:noProof/>
                <w:webHidden/>
              </w:rPr>
              <w:fldChar w:fldCharType="end"/>
            </w:r>
          </w:hyperlink>
        </w:p>
        <w:p w14:paraId="0D8A74E2" w14:textId="291FE778" w:rsidR="00B01C8D" w:rsidRDefault="0009707E">
          <w:pPr>
            <w:pStyle w:val="TM3"/>
            <w:tabs>
              <w:tab w:val="left" w:pos="880"/>
              <w:tab w:val="right" w:leader="dot" w:pos="9060"/>
            </w:tabs>
            <w:rPr>
              <w:noProof/>
            </w:rPr>
          </w:pPr>
          <w:hyperlink w:anchor="_Toc145312181" w:history="1">
            <w:r w:rsidR="00B01C8D" w:rsidRPr="00AD1BEB">
              <w:rPr>
                <w:rStyle w:val="Lienhypertexte"/>
                <w:noProof/>
              </w:rPr>
              <w:t>A.</w:t>
            </w:r>
            <w:r w:rsidR="00B01C8D">
              <w:rPr>
                <w:noProof/>
              </w:rPr>
              <w:tab/>
            </w:r>
            <w:r w:rsidR="00B01C8D" w:rsidRPr="00AD1BEB">
              <w:rPr>
                <w:rStyle w:val="Lienhypertexte"/>
                <w:noProof/>
              </w:rPr>
              <w:t>Contenu des offres relatives aux marchés subséquents</w:t>
            </w:r>
            <w:r w:rsidR="00B01C8D">
              <w:rPr>
                <w:noProof/>
                <w:webHidden/>
              </w:rPr>
              <w:tab/>
            </w:r>
            <w:r w:rsidR="00B01C8D">
              <w:rPr>
                <w:noProof/>
                <w:webHidden/>
              </w:rPr>
              <w:fldChar w:fldCharType="begin"/>
            </w:r>
            <w:r w:rsidR="00B01C8D">
              <w:rPr>
                <w:noProof/>
                <w:webHidden/>
              </w:rPr>
              <w:instrText xml:space="preserve"> PAGEREF _Toc145312181 \h </w:instrText>
            </w:r>
            <w:r w:rsidR="00B01C8D">
              <w:rPr>
                <w:noProof/>
                <w:webHidden/>
              </w:rPr>
            </w:r>
            <w:r w:rsidR="00B01C8D">
              <w:rPr>
                <w:noProof/>
                <w:webHidden/>
              </w:rPr>
              <w:fldChar w:fldCharType="separate"/>
            </w:r>
            <w:r w:rsidR="00B01C8D">
              <w:rPr>
                <w:noProof/>
                <w:webHidden/>
              </w:rPr>
              <w:t>11</w:t>
            </w:r>
            <w:r w:rsidR="00B01C8D">
              <w:rPr>
                <w:noProof/>
                <w:webHidden/>
              </w:rPr>
              <w:fldChar w:fldCharType="end"/>
            </w:r>
          </w:hyperlink>
        </w:p>
        <w:p w14:paraId="13B2B68E" w14:textId="4DD4051E" w:rsidR="00B01C8D" w:rsidRDefault="0009707E">
          <w:pPr>
            <w:pStyle w:val="TM3"/>
            <w:tabs>
              <w:tab w:val="left" w:pos="880"/>
              <w:tab w:val="right" w:leader="dot" w:pos="9060"/>
            </w:tabs>
            <w:rPr>
              <w:noProof/>
            </w:rPr>
          </w:pPr>
          <w:hyperlink w:anchor="_Toc145312182" w:history="1">
            <w:r w:rsidR="00B01C8D" w:rsidRPr="00AD1BEB">
              <w:rPr>
                <w:rStyle w:val="Lienhypertexte"/>
                <w:noProof/>
              </w:rPr>
              <w:t>B.</w:t>
            </w:r>
            <w:r w:rsidR="00B01C8D">
              <w:rPr>
                <w:noProof/>
              </w:rPr>
              <w:tab/>
            </w:r>
            <w:r w:rsidR="00B01C8D" w:rsidRPr="00AD1BEB">
              <w:rPr>
                <w:rStyle w:val="Lienhypertexte"/>
                <w:noProof/>
              </w:rPr>
              <w:t>Modalités de remise des offres</w:t>
            </w:r>
            <w:r w:rsidR="00B01C8D">
              <w:rPr>
                <w:noProof/>
                <w:webHidden/>
              </w:rPr>
              <w:tab/>
            </w:r>
            <w:r w:rsidR="00B01C8D">
              <w:rPr>
                <w:noProof/>
                <w:webHidden/>
              </w:rPr>
              <w:fldChar w:fldCharType="begin"/>
            </w:r>
            <w:r w:rsidR="00B01C8D">
              <w:rPr>
                <w:noProof/>
                <w:webHidden/>
              </w:rPr>
              <w:instrText xml:space="preserve"> PAGEREF _Toc145312182 \h </w:instrText>
            </w:r>
            <w:r w:rsidR="00B01C8D">
              <w:rPr>
                <w:noProof/>
                <w:webHidden/>
              </w:rPr>
            </w:r>
            <w:r w:rsidR="00B01C8D">
              <w:rPr>
                <w:noProof/>
                <w:webHidden/>
              </w:rPr>
              <w:fldChar w:fldCharType="separate"/>
            </w:r>
            <w:r w:rsidR="00B01C8D">
              <w:rPr>
                <w:noProof/>
                <w:webHidden/>
              </w:rPr>
              <w:t>12</w:t>
            </w:r>
            <w:r w:rsidR="00B01C8D">
              <w:rPr>
                <w:noProof/>
                <w:webHidden/>
              </w:rPr>
              <w:fldChar w:fldCharType="end"/>
            </w:r>
          </w:hyperlink>
        </w:p>
        <w:p w14:paraId="4A121EC2" w14:textId="5BC22038" w:rsidR="00B01C8D" w:rsidRDefault="0009707E">
          <w:pPr>
            <w:pStyle w:val="TM3"/>
            <w:tabs>
              <w:tab w:val="left" w:pos="880"/>
              <w:tab w:val="right" w:leader="dot" w:pos="9060"/>
            </w:tabs>
            <w:rPr>
              <w:noProof/>
            </w:rPr>
          </w:pPr>
          <w:hyperlink w:anchor="_Toc145312183" w:history="1">
            <w:r w:rsidR="00B01C8D" w:rsidRPr="00AD1BEB">
              <w:rPr>
                <w:rStyle w:val="Lienhypertexte"/>
                <w:noProof/>
              </w:rPr>
              <w:t>C.</w:t>
            </w:r>
            <w:r w:rsidR="00B01C8D">
              <w:rPr>
                <w:noProof/>
              </w:rPr>
              <w:tab/>
            </w:r>
            <w:r w:rsidR="00B01C8D" w:rsidRPr="00AD1BEB">
              <w:rPr>
                <w:rStyle w:val="Lienhypertexte"/>
                <w:noProof/>
              </w:rPr>
              <w:t>Critères de jugement des offres</w:t>
            </w:r>
            <w:r w:rsidR="00B01C8D">
              <w:rPr>
                <w:noProof/>
                <w:webHidden/>
              </w:rPr>
              <w:tab/>
            </w:r>
            <w:r w:rsidR="00B01C8D">
              <w:rPr>
                <w:noProof/>
                <w:webHidden/>
              </w:rPr>
              <w:fldChar w:fldCharType="begin"/>
            </w:r>
            <w:r w:rsidR="00B01C8D">
              <w:rPr>
                <w:noProof/>
                <w:webHidden/>
              </w:rPr>
              <w:instrText xml:space="preserve"> PAGEREF _Toc145312183 \h </w:instrText>
            </w:r>
            <w:r w:rsidR="00B01C8D">
              <w:rPr>
                <w:noProof/>
                <w:webHidden/>
              </w:rPr>
            </w:r>
            <w:r w:rsidR="00B01C8D">
              <w:rPr>
                <w:noProof/>
                <w:webHidden/>
              </w:rPr>
              <w:fldChar w:fldCharType="separate"/>
            </w:r>
            <w:r w:rsidR="00B01C8D">
              <w:rPr>
                <w:noProof/>
                <w:webHidden/>
              </w:rPr>
              <w:t>12</w:t>
            </w:r>
            <w:r w:rsidR="00B01C8D">
              <w:rPr>
                <w:noProof/>
                <w:webHidden/>
              </w:rPr>
              <w:fldChar w:fldCharType="end"/>
            </w:r>
          </w:hyperlink>
        </w:p>
        <w:p w14:paraId="3432C2A8" w14:textId="0E70FDC9" w:rsidR="00B01C8D" w:rsidRDefault="0009707E">
          <w:pPr>
            <w:pStyle w:val="TM3"/>
            <w:tabs>
              <w:tab w:val="left" w:pos="880"/>
              <w:tab w:val="right" w:leader="dot" w:pos="9060"/>
            </w:tabs>
            <w:rPr>
              <w:noProof/>
            </w:rPr>
          </w:pPr>
          <w:hyperlink w:anchor="_Toc145312184" w:history="1">
            <w:r w:rsidR="00B01C8D" w:rsidRPr="00AD1BEB">
              <w:rPr>
                <w:rStyle w:val="Lienhypertexte"/>
                <w:noProof/>
              </w:rPr>
              <w:t>D.</w:t>
            </w:r>
            <w:r w:rsidR="00B01C8D">
              <w:rPr>
                <w:noProof/>
              </w:rPr>
              <w:tab/>
            </w:r>
            <w:r w:rsidR="00B01C8D" w:rsidRPr="00AD1BEB">
              <w:rPr>
                <w:rStyle w:val="Lienhypertexte"/>
                <w:noProof/>
              </w:rPr>
              <w:t>Choix de l’attributaire du marché subséquent</w:t>
            </w:r>
            <w:r w:rsidR="00B01C8D">
              <w:rPr>
                <w:noProof/>
                <w:webHidden/>
              </w:rPr>
              <w:tab/>
            </w:r>
            <w:r w:rsidR="00B01C8D">
              <w:rPr>
                <w:noProof/>
                <w:webHidden/>
              </w:rPr>
              <w:fldChar w:fldCharType="begin"/>
            </w:r>
            <w:r w:rsidR="00B01C8D">
              <w:rPr>
                <w:noProof/>
                <w:webHidden/>
              </w:rPr>
              <w:instrText xml:space="preserve"> PAGEREF _Toc145312184 \h </w:instrText>
            </w:r>
            <w:r w:rsidR="00B01C8D">
              <w:rPr>
                <w:noProof/>
                <w:webHidden/>
              </w:rPr>
            </w:r>
            <w:r w:rsidR="00B01C8D">
              <w:rPr>
                <w:noProof/>
                <w:webHidden/>
              </w:rPr>
              <w:fldChar w:fldCharType="separate"/>
            </w:r>
            <w:r w:rsidR="00B01C8D">
              <w:rPr>
                <w:noProof/>
                <w:webHidden/>
              </w:rPr>
              <w:t>13</w:t>
            </w:r>
            <w:r w:rsidR="00B01C8D">
              <w:rPr>
                <w:noProof/>
                <w:webHidden/>
              </w:rPr>
              <w:fldChar w:fldCharType="end"/>
            </w:r>
          </w:hyperlink>
        </w:p>
        <w:p w14:paraId="1A627A21" w14:textId="6AE41084" w:rsidR="00B01C8D" w:rsidRDefault="0009707E">
          <w:pPr>
            <w:pStyle w:val="TM2"/>
            <w:tabs>
              <w:tab w:val="right" w:leader="dot" w:pos="9060"/>
            </w:tabs>
            <w:rPr>
              <w:noProof/>
            </w:rPr>
          </w:pPr>
          <w:hyperlink w:anchor="_Toc145312185" w:history="1">
            <w:r w:rsidR="00B01C8D" w:rsidRPr="00AD1BEB">
              <w:rPr>
                <w:rStyle w:val="Lienhypertexte"/>
                <w:noProof/>
                <w:spacing w:val="5"/>
                <w:kern w:val="28"/>
              </w:rPr>
              <w:t>Article 9 – Modalités d’exécution des marchés subséquents</w:t>
            </w:r>
            <w:r w:rsidR="00B01C8D">
              <w:rPr>
                <w:noProof/>
                <w:webHidden/>
              </w:rPr>
              <w:tab/>
            </w:r>
            <w:r w:rsidR="00B01C8D">
              <w:rPr>
                <w:noProof/>
                <w:webHidden/>
              </w:rPr>
              <w:fldChar w:fldCharType="begin"/>
            </w:r>
            <w:r w:rsidR="00B01C8D">
              <w:rPr>
                <w:noProof/>
                <w:webHidden/>
              </w:rPr>
              <w:instrText xml:space="preserve"> PAGEREF _Toc145312185 \h </w:instrText>
            </w:r>
            <w:r w:rsidR="00B01C8D">
              <w:rPr>
                <w:noProof/>
                <w:webHidden/>
              </w:rPr>
            </w:r>
            <w:r w:rsidR="00B01C8D">
              <w:rPr>
                <w:noProof/>
                <w:webHidden/>
              </w:rPr>
              <w:fldChar w:fldCharType="separate"/>
            </w:r>
            <w:r w:rsidR="00B01C8D">
              <w:rPr>
                <w:noProof/>
                <w:webHidden/>
              </w:rPr>
              <w:t>14</w:t>
            </w:r>
            <w:r w:rsidR="00B01C8D">
              <w:rPr>
                <w:noProof/>
                <w:webHidden/>
              </w:rPr>
              <w:fldChar w:fldCharType="end"/>
            </w:r>
          </w:hyperlink>
        </w:p>
        <w:p w14:paraId="4EF40853" w14:textId="0A87DE4C" w:rsidR="00B01C8D" w:rsidRDefault="0009707E">
          <w:pPr>
            <w:pStyle w:val="TM2"/>
            <w:tabs>
              <w:tab w:val="right" w:leader="dot" w:pos="9060"/>
            </w:tabs>
            <w:rPr>
              <w:noProof/>
            </w:rPr>
          </w:pPr>
          <w:hyperlink w:anchor="_Toc145312186" w:history="1">
            <w:r w:rsidR="00B01C8D" w:rsidRPr="00AD1BEB">
              <w:rPr>
                <w:rStyle w:val="Lienhypertexte"/>
                <w:noProof/>
                <w:spacing w:val="5"/>
                <w:kern w:val="28"/>
              </w:rPr>
              <w:t>Article 10 – Délais d’exécution</w:t>
            </w:r>
            <w:r w:rsidR="00B01C8D">
              <w:rPr>
                <w:noProof/>
                <w:webHidden/>
              </w:rPr>
              <w:tab/>
            </w:r>
            <w:r w:rsidR="00B01C8D">
              <w:rPr>
                <w:noProof/>
                <w:webHidden/>
              </w:rPr>
              <w:fldChar w:fldCharType="begin"/>
            </w:r>
            <w:r w:rsidR="00B01C8D">
              <w:rPr>
                <w:noProof/>
                <w:webHidden/>
              </w:rPr>
              <w:instrText xml:space="preserve"> PAGEREF _Toc145312186 \h </w:instrText>
            </w:r>
            <w:r w:rsidR="00B01C8D">
              <w:rPr>
                <w:noProof/>
                <w:webHidden/>
              </w:rPr>
            </w:r>
            <w:r w:rsidR="00B01C8D">
              <w:rPr>
                <w:noProof/>
                <w:webHidden/>
              </w:rPr>
              <w:fldChar w:fldCharType="separate"/>
            </w:r>
            <w:r w:rsidR="00B01C8D">
              <w:rPr>
                <w:noProof/>
                <w:webHidden/>
              </w:rPr>
              <w:t>14</w:t>
            </w:r>
            <w:r w:rsidR="00B01C8D">
              <w:rPr>
                <w:noProof/>
                <w:webHidden/>
              </w:rPr>
              <w:fldChar w:fldCharType="end"/>
            </w:r>
          </w:hyperlink>
        </w:p>
        <w:p w14:paraId="02F024CF" w14:textId="210526F0" w:rsidR="00B01C8D" w:rsidRDefault="0009707E">
          <w:pPr>
            <w:pStyle w:val="TM2"/>
            <w:tabs>
              <w:tab w:val="right" w:leader="dot" w:pos="9060"/>
            </w:tabs>
            <w:rPr>
              <w:noProof/>
            </w:rPr>
          </w:pPr>
          <w:hyperlink w:anchor="_Toc145312187" w:history="1">
            <w:r w:rsidR="00B01C8D" w:rsidRPr="00AD1BEB">
              <w:rPr>
                <w:rStyle w:val="Lienhypertexte"/>
                <w:noProof/>
                <w:spacing w:val="5"/>
                <w:kern w:val="28"/>
              </w:rPr>
              <w:t>Article 11 – Pénalités</w:t>
            </w:r>
            <w:r w:rsidR="00B01C8D">
              <w:rPr>
                <w:noProof/>
                <w:webHidden/>
              </w:rPr>
              <w:tab/>
            </w:r>
            <w:r w:rsidR="00B01C8D">
              <w:rPr>
                <w:noProof/>
                <w:webHidden/>
              </w:rPr>
              <w:fldChar w:fldCharType="begin"/>
            </w:r>
            <w:r w:rsidR="00B01C8D">
              <w:rPr>
                <w:noProof/>
                <w:webHidden/>
              </w:rPr>
              <w:instrText xml:space="preserve"> PAGEREF _Toc145312187 \h </w:instrText>
            </w:r>
            <w:r w:rsidR="00B01C8D">
              <w:rPr>
                <w:noProof/>
                <w:webHidden/>
              </w:rPr>
            </w:r>
            <w:r w:rsidR="00B01C8D">
              <w:rPr>
                <w:noProof/>
                <w:webHidden/>
              </w:rPr>
              <w:fldChar w:fldCharType="separate"/>
            </w:r>
            <w:r w:rsidR="00B01C8D">
              <w:rPr>
                <w:noProof/>
                <w:webHidden/>
              </w:rPr>
              <w:t>15</w:t>
            </w:r>
            <w:r w:rsidR="00B01C8D">
              <w:rPr>
                <w:noProof/>
                <w:webHidden/>
              </w:rPr>
              <w:fldChar w:fldCharType="end"/>
            </w:r>
          </w:hyperlink>
        </w:p>
        <w:p w14:paraId="51C0C5B5" w14:textId="17A3A968" w:rsidR="00B01C8D" w:rsidRDefault="0009707E">
          <w:pPr>
            <w:pStyle w:val="TM2"/>
            <w:tabs>
              <w:tab w:val="right" w:leader="dot" w:pos="9060"/>
            </w:tabs>
            <w:rPr>
              <w:noProof/>
            </w:rPr>
          </w:pPr>
          <w:hyperlink w:anchor="_Toc145312188" w:history="1">
            <w:r w:rsidR="00B01C8D" w:rsidRPr="00AD1BEB">
              <w:rPr>
                <w:rStyle w:val="Lienhypertexte"/>
                <w:noProof/>
                <w:spacing w:val="5"/>
                <w:kern w:val="28"/>
              </w:rPr>
              <w:t>Article 12 – Résiliation des marchés subséquents</w:t>
            </w:r>
            <w:r w:rsidR="00B01C8D">
              <w:rPr>
                <w:noProof/>
                <w:webHidden/>
              </w:rPr>
              <w:tab/>
            </w:r>
            <w:r w:rsidR="00B01C8D">
              <w:rPr>
                <w:noProof/>
                <w:webHidden/>
              </w:rPr>
              <w:fldChar w:fldCharType="begin"/>
            </w:r>
            <w:r w:rsidR="00B01C8D">
              <w:rPr>
                <w:noProof/>
                <w:webHidden/>
              </w:rPr>
              <w:instrText xml:space="preserve"> PAGEREF _Toc145312188 \h </w:instrText>
            </w:r>
            <w:r w:rsidR="00B01C8D">
              <w:rPr>
                <w:noProof/>
                <w:webHidden/>
              </w:rPr>
            </w:r>
            <w:r w:rsidR="00B01C8D">
              <w:rPr>
                <w:noProof/>
                <w:webHidden/>
              </w:rPr>
              <w:fldChar w:fldCharType="separate"/>
            </w:r>
            <w:r w:rsidR="00B01C8D">
              <w:rPr>
                <w:noProof/>
                <w:webHidden/>
              </w:rPr>
              <w:t>15</w:t>
            </w:r>
            <w:r w:rsidR="00B01C8D">
              <w:rPr>
                <w:noProof/>
                <w:webHidden/>
              </w:rPr>
              <w:fldChar w:fldCharType="end"/>
            </w:r>
          </w:hyperlink>
        </w:p>
        <w:p w14:paraId="6B6D868C" w14:textId="6E402452" w:rsidR="00B01C8D" w:rsidRDefault="0009707E">
          <w:pPr>
            <w:pStyle w:val="TM1"/>
            <w:tabs>
              <w:tab w:val="right" w:leader="dot" w:pos="9060"/>
            </w:tabs>
            <w:rPr>
              <w:rFonts w:eastAsiaTheme="minorEastAsia"/>
              <w:noProof/>
              <w:lang w:eastAsia="fr-FR"/>
            </w:rPr>
          </w:pPr>
          <w:hyperlink w:anchor="_Toc145312189" w:history="1">
            <w:r w:rsidR="00B01C8D" w:rsidRPr="00AD1BEB">
              <w:rPr>
                <w:rStyle w:val="Lienhypertexte"/>
                <w:noProof/>
              </w:rPr>
              <w:t>PARTIE 3 : Clauses diverses</w:t>
            </w:r>
            <w:r w:rsidR="00B01C8D">
              <w:rPr>
                <w:noProof/>
                <w:webHidden/>
              </w:rPr>
              <w:tab/>
            </w:r>
            <w:r w:rsidR="00B01C8D">
              <w:rPr>
                <w:noProof/>
                <w:webHidden/>
              </w:rPr>
              <w:fldChar w:fldCharType="begin"/>
            </w:r>
            <w:r w:rsidR="00B01C8D">
              <w:rPr>
                <w:noProof/>
                <w:webHidden/>
              </w:rPr>
              <w:instrText xml:space="preserve"> PAGEREF _Toc145312189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63CF98E0" w14:textId="66ECDBA8" w:rsidR="00B01C8D" w:rsidRDefault="0009707E">
          <w:pPr>
            <w:pStyle w:val="TM2"/>
            <w:tabs>
              <w:tab w:val="right" w:leader="dot" w:pos="9060"/>
            </w:tabs>
            <w:rPr>
              <w:noProof/>
            </w:rPr>
          </w:pPr>
          <w:hyperlink w:anchor="_Toc145312190" w:history="1">
            <w:r w:rsidR="00B01C8D" w:rsidRPr="00AD1BEB">
              <w:rPr>
                <w:rStyle w:val="Lienhypertexte"/>
                <w:noProof/>
                <w:spacing w:val="5"/>
                <w:kern w:val="28"/>
              </w:rPr>
              <w:t>Article 13 – Non cessibilité</w:t>
            </w:r>
            <w:r w:rsidR="00B01C8D">
              <w:rPr>
                <w:noProof/>
                <w:webHidden/>
              </w:rPr>
              <w:tab/>
            </w:r>
            <w:r w:rsidR="00B01C8D">
              <w:rPr>
                <w:noProof/>
                <w:webHidden/>
              </w:rPr>
              <w:fldChar w:fldCharType="begin"/>
            </w:r>
            <w:r w:rsidR="00B01C8D">
              <w:rPr>
                <w:noProof/>
                <w:webHidden/>
              </w:rPr>
              <w:instrText xml:space="preserve"> PAGEREF _Toc145312190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2E28B87F" w14:textId="43815884" w:rsidR="00B01C8D" w:rsidRDefault="0009707E">
          <w:pPr>
            <w:pStyle w:val="TM2"/>
            <w:tabs>
              <w:tab w:val="right" w:leader="dot" w:pos="9060"/>
            </w:tabs>
            <w:rPr>
              <w:noProof/>
            </w:rPr>
          </w:pPr>
          <w:hyperlink w:anchor="_Toc145312191" w:history="1">
            <w:r w:rsidR="00B01C8D" w:rsidRPr="00AD1BEB">
              <w:rPr>
                <w:rStyle w:val="Lienhypertexte"/>
                <w:noProof/>
                <w:spacing w:val="5"/>
                <w:kern w:val="28"/>
              </w:rPr>
              <w:t>Article 14 – Assurances</w:t>
            </w:r>
            <w:r w:rsidR="00B01C8D">
              <w:rPr>
                <w:noProof/>
                <w:webHidden/>
              </w:rPr>
              <w:tab/>
            </w:r>
            <w:r w:rsidR="00B01C8D">
              <w:rPr>
                <w:noProof/>
                <w:webHidden/>
              </w:rPr>
              <w:fldChar w:fldCharType="begin"/>
            </w:r>
            <w:r w:rsidR="00B01C8D">
              <w:rPr>
                <w:noProof/>
                <w:webHidden/>
              </w:rPr>
              <w:instrText xml:space="preserve"> PAGEREF _Toc145312191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6B3AA1EC" w14:textId="72396F0E" w:rsidR="00B01C8D" w:rsidRDefault="0009707E">
          <w:pPr>
            <w:pStyle w:val="TM2"/>
            <w:tabs>
              <w:tab w:val="right" w:leader="dot" w:pos="9060"/>
            </w:tabs>
            <w:rPr>
              <w:noProof/>
            </w:rPr>
          </w:pPr>
          <w:hyperlink w:anchor="_Toc145312192" w:history="1">
            <w:r w:rsidR="00B01C8D" w:rsidRPr="00AD1BEB">
              <w:rPr>
                <w:rStyle w:val="Lienhypertexte"/>
                <w:noProof/>
                <w:spacing w:val="5"/>
                <w:kern w:val="28"/>
              </w:rPr>
              <w:t>Article 15 – Propriété intellectuelle et autres droits</w:t>
            </w:r>
            <w:r w:rsidR="00B01C8D">
              <w:rPr>
                <w:noProof/>
                <w:webHidden/>
              </w:rPr>
              <w:tab/>
            </w:r>
            <w:r w:rsidR="00B01C8D">
              <w:rPr>
                <w:noProof/>
                <w:webHidden/>
              </w:rPr>
              <w:fldChar w:fldCharType="begin"/>
            </w:r>
            <w:r w:rsidR="00B01C8D">
              <w:rPr>
                <w:noProof/>
                <w:webHidden/>
              </w:rPr>
              <w:instrText xml:space="preserve"> PAGEREF _Toc145312192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4362C702" w14:textId="61EF268E" w:rsidR="00B01C8D" w:rsidRDefault="0009707E">
          <w:pPr>
            <w:pStyle w:val="TM2"/>
            <w:tabs>
              <w:tab w:val="right" w:leader="dot" w:pos="9060"/>
            </w:tabs>
            <w:rPr>
              <w:noProof/>
            </w:rPr>
          </w:pPr>
          <w:hyperlink w:anchor="_Toc145312193" w:history="1">
            <w:r w:rsidR="00B01C8D" w:rsidRPr="00AD1BEB">
              <w:rPr>
                <w:rStyle w:val="Lienhypertexte"/>
                <w:noProof/>
                <w:spacing w:val="5"/>
                <w:kern w:val="28"/>
              </w:rPr>
              <w:t>Article 16 – Règlement des litiges</w:t>
            </w:r>
            <w:r w:rsidR="00B01C8D">
              <w:rPr>
                <w:noProof/>
                <w:webHidden/>
              </w:rPr>
              <w:tab/>
            </w:r>
            <w:r w:rsidR="00B01C8D">
              <w:rPr>
                <w:noProof/>
                <w:webHidden/>
              </w:rPr>
              <w:fldChar w:fldCharType="begin"/>
            </w:r>
            <w:r w:rsidR="00B01C8D">
              <w:rPr>
                <w:noProof/>
                <w:webHidden/>
              </w:rPr>
              <w:instrText xml:space="preserve"> PAGEREF _Toc145312193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3F795D56" w14:textId="27201798" w:rsidR="00B01C8D" w:rsidRDefault="0009707E">
          <w:pPr>
            <w:pStyle w:val="TM3"/>
            <w:tabs>
              <w:tab w:val="left" w:pos="880"/>
              <w:tab w:val="right" w:leader="dot" w:pos="9060"/>
            </w:tabs>
            <w:rPr>
              <w:noProof/>
            </w:rPr>
          </w:pPr>
          <w:hyperlink w:anchor="_Toc145312194" w:history="1">
            <w:r w:rsidR="00B01C8D" w:rsidRPr="00AD1BEB">
              <w:rPr>
                <w:rStyle w:val="Lienhypertexte"/>
                <w:noProof/>
              </w:rPr>
              <w:t>A.</w:t>
            </w:r>
            <w:r w:rsidR="00B01C8D">
              <w:rPr>
                <w:noProof/>
              </w:rPr>
              <w:tab/>
            </w:r>
            <w:r w:rsidR="00B01C8D" w:rsidRPr="00AD1BEB">
              <w:rPr>
                <w:rStyle w:val="Lienhypertexte"/>
                <w:noProof/>
              </w:rPr>
              <w:t>Règlement à l’amiable</w:t>
            </w:r>
            <w:r w:rsidR="00B01C8D">
              <w:rPr>
                <w:noProof/>
                <w:webHidden/>
              </w:rPr>
              <w:tab/>
            </w:r>
            <w:r w:rsidR="00B01C8D">
              <w:rPr>
                <w:noProof/>
                <w:webHidden/>
              </w:rPr>
              <w:fldChar w:fldCharType="begin"/>
            </w:r>
            <w:r w:rsidR="00B01C8D">
              <w:rPr>
                <w:noProof/>
                <w:webHidden/>
              </w:rPr>
              <w:instrText xml:space="preserve"> PAGEREF _Toc145312194 \h </w:instrText>
            </w:r>
            <w:r w:rsidR="00B01C8D">
              <w:rPr>
                <w:noProof/>
                <w:webHidden/>
              </w:rPr>
            </w:r>
            <w:r w:rsidR="00B01C8D">
              <w:rPr>
                <w:noProof/>
                <w:webHidden/>
              </w:rPr>
              <w:fldChar w:fldCharType="separate"/>
            </w:r>
            <w:r w:rsidR="00B01C8D">
              <w:rPr>
                <w:noProof/>
                <w:webHidden/>
              </w:rPr>
              <w:t>16</w:t>
            </w:r>
            <w:r w:rsidR="00B01C8D">
              <w:rPr>
                <w:noProof/>
                <w:webHidden/>
              </w:rPr>
              <w:fldChar w:fldCharType="end"/>
            </w:r>
          </w:hyperlink>
        </w:p>
        <w:p w14:paraId="2DFE7C44" w14:textId="71F5BC81" w:rsidR="00B01C8D" w:rsidRDefault="0009707E">
          <w:pPr>
            <w:pStyle w:val="TM3"/>
            <w:tabs>
              <w:tab w:val="left" w:pos="880"/>
              <w:tab w:val="right" w:leader="dot" w:pos="9060"/>
            </w:tabs>
            <w:rPr>
              <w:noProof/>
            </w:rPr>
          </w:pPr>
          <w:hyperlink w:anchor="_Toc145312195" w:history="1">
            <w:r w:rsidR="00B01C8D" w:rsidRPr="00AD1BEB">
              <w:rPr>
                <w:rStyle w:val="Lienhypertexte"/>
                <w:noProof/>
              </w:rPr>
              <w:t>B.</w:t>
            </w:r>
            <w:r w:rsidR="00B01C8D">
              <w:rPr>
                <w:noProof/>
              </w:rPr>
              <w:tab/>
            </w:r>
            <w:r w:rsidR="00B01C8D" w:rsidRPr="00AD1BEB">
              <w:rPr>
                <w:rStyle w:val="Lienhypertexte"/>
                <w:noProof/>
              </w:rPr>
              <w:t>Droit applicable</w:t>
            </w:r>
            <w:r w:rsidR="00B01C8D">
              <w:rPr>
                <w:noProof/>
                <w:webHidden/>
              </w:rPr>
              <w:tab/>
            </w:r>
            <w:r w:rsidR="00B01C8D">
              <w:rPr>
                <w:noProof/>
                <w:webHidden/>
              </w:rPr>
              <w:fldChar w:fldCharType="begin"/>
            </w:r>
            <w:r w:rsidR="00B01C8D">
              <w:rPr>
                <w:noProof/>
                <w:webHidden/>
              </w:rPr>
              <w:instrText xml:space="preserve"> PAGEREF _Toc145312195 \h </w:instrText>
            </w:r>
            <w:r w:rsidR="00B01C8D">
              <w:rPr>
                <w:noProof/>
                <w:webHidden/>
              </w:rPr>
            </w:r>
            <w:r w:rsidR="00B01C8D">
              <w:rPr>
                <w:noProof/>
                <w:webHidden/>
              </w:rPr>
              <w:fldChar w:fldCharType="separate"/>
            </w:r>
            <w:r w:rsidR="00B01C8D">
              <w:rPr>
                <w:noProof/>
                <w:webHidden/>
              </w:rPr>
              <w:t>17</w:t>
            </w:r>
            <w:r w:rsidR="00B01C8D">
              <w:rPr>
                <w:noProof/>
                <w:webHidden/>
              </w:rPr>
              <w:fldChar w:fldCharType="end"/>
            </w:r>
          </w:hyperlink>
        </w:p>
        <w:p w14:paraId="16F2163F" w14:textId="40C1759E" w:rsidR="00B01C8D" w:rsidRDefault="0009707E">
          <w:pPr>
            <w:pStyle w:val="TM3"/>
            <w:tabs>
              <w:tab w:val="left" w:pos="880"/>
              <w:tab w:val="right" w:leader="dot" w:pos="9060"/>
            </w:tabs>
            <w:rPr>
              <w:noProof/>
            </w:rPr>
          </w:pPr>
          <w:hyperlink w:anchor="_Toc145312196" w:history="1">
            <w:r w:rsidR="00B01C8D" w:rsidRPr="00AD1BEB">
              <w:rPr>
                <w:rStyle w:val="Lienhypertexte"/>
                <w:noProof/>
              </w:rPr>
              <w:t>C.</w:t>
            </w:r>
            <w:r w:rsidR="00B01C8D">
              <w:rPr>
                <w:noProof/>
              </w:rPr>
              <w:tab/>
            </w:r>
            <w:r w:rsidR="00B01C8D" w:rsidRPr="00AD1BEB">
              <w:rPr>
                <w:rStyle w:val="Lienhypertexte"/>
                <w:noProof/>
              </w:rPr>
              <w:t>Juridiction compétente</w:t>
            </w:r>
            <w:r w:rsidR="00B01C8D">
              <w:rPr>
                <w:noProof/>
                <w:webHidden/>
              </w:rPr>
              <w:tab/>
            </w:r>
            <w:r w:rsidR="00B01C8D">
              <w:rPr>
                <w:noProof/>
                <w:webHidden/>
              </w:rPr>
              <w:fldChar w:fldCharType="begin"/>
            </w:r>
            <w:r w:rsidR="00B01C8D">
              <w:rPr>
                <w:noProof/>
                <w:webHidden/>
              </w:rPr>
              <w:instrText xml:space="preserve"> PAGEREF _Toc145312196 \h </w:instrText>
            </w:r>
            <w:r w:rsidR="00B01C8D">
              <w:rPr>
                <w:noProof/>
                <w:webHidden/>
              </w:rPr>
            </w:r>
            <w:r w:rsidR="00B01C8D">
              <w:rPr>
                <w:noProof/>
                <w:webHidden/>
              </w:rPr>
              <w:fldChar w:fldCharType="separate"/>
            </w:r>
            <w:r w:rsidR="00B01C8D">
              <w:rPr>
                <w:noProof/>
                <w:webHidden/>
              </w:rPr>
              <w:t>17</w:t>
            </w:r>
            <w:r w:rsidR="00B01C8D">
              <w:rPr>
                <w:noProof/>
                <w:webHidden/>
              </w:rPr>
              <w:fldChar w:fldCharType="end"/>
            </w:r>
          </w:hyperlink>
        </w:p>
        <w:p w14:paraId="604C24AF" w14:textId="1B514EB3" w:rsidR="00B01C8D" w:rsidRDefault="0009707E">
          <w:pPr>
            <w:pStyle w:val="TM2"/>
            <w:tabs>
              <w:tab w:val="right" w:leader="dot" w:pos="9060"/>
            </w:tabs>
            <w:rPr>
              <w:noProof/>
            </w:rPr>
          </w:pPr>
          <w:hyperlink w:anchor="_Toc145312197" w:history="1">
            <w:r w:rsidR="00B01C8D" w:rsidRPr="00AD1BEB">
              <w:rPr>
                <w:rStyle w:val="Lienhypertexte"/>
                <w:noProof/>
                <w:spacing w:val="5"/>
                <w:kern w:val="28"/>
              </w:rPr>
              <w:t>Article 17 – Décision du FCH</w:t>
            </w:r>
            <w:r w:rsidR="00B01C8D">
              <w:rPr>
                <w:noProof/>
                <w:webHidden/>
              </w:rPr>
              <w:tab/>
            </w:r>
            <w:r w:rsidR="00B01C8D">
              <w:rPr>
                <w:noProof/>
                <w:webHidden/>
              </w:rPr>
              <w:fldChar w:fldCharType="begin"/>
            </w:r>
            <w:r w:rsidR="00B01C8D">
              <w:rPr>
                <w:noProof/>
                <w:webHidden/>
              </w:rPr>
              <w:instrText xml:space="preserve"> PAGEREF _Toc145312197 \h </w:instrText>
            </w:r>
            <w:r w:rsidR="00B01C8D">
              <w:rPr>
                <w:noProof/>
                <w:webHidden/>
              </w:rPr>
            </w:r>
            <w:r w:rsidR="00B01C8D">
              <w:rPr>
                <w:noProof/>
                <w:webHidden/>
              </w:rPr>
              <w:fldChar w:fldCharType="separate"/>
            </w:r>
            <w:r w:rsidR="00B01C8D">
              <w:rPr>
                <w:noProof/>
                <w:webHidden/>
              </w:rPr>
              <w:t>17</w:t>
            </w:r>
            <w:r w:rsidR="00B01C8D">
              <w:rPr>
                <w:noProof/>
                <w:webHidden/>
              </w:rPr>
              <w:fldChar w:fldCharType="end"/>
            </w:r>
          </w:hyperlink>
        </w:p>
        <w:p w14:paraId="64283772" w14:textId="1A3EF6F5" w:rsidR="00B01C8D" w:rsidRDefault="0009707E">
          <w:pPr>
            <w:pStyle w:val="TM1"/>
            <w:tabs>
              <w:tab w:val="right" w:leader="dot" w:pos="9060"/>
            </w:tabs>
            <w:rPr>
              <w:rFonts w:eastAsiaTheme="minorEastAsia"/>
              <w:noProof/>
              <w:lang w:eastAsia="fr-FR"/>
            </w:rPr>
          </w:pPr>
          <w:hyperlink w:anchor="_Toc145312198" w:history="1">
            <w:r w:rsidR="00B01C8D" w:rsidRPr="00AD1BEB">
              <w:rPr>
                <w:rStyle w:val="Lienhypertexte"/>
                <w:noProof/>
              </w:rPr>
              <w:t>ANNEXE 1 : Présentation de l’organisation proposée pour réaliser les prestations relatives aux marchés subséquents</w:t>
            </w:r>
            <w:r w:rsidR="00B01C8D">
              <w:rPr>
                <w:noProof/>
                <w:webHidden/>
              </w:rPr>
              <w:tab/>
            </w:r>
            <w:r w:rsidR="00B01C8D">
              <w:rPr>
                <w:noProof/>
                <w:webHidden/>
              </w:rPr>
              <w:fldChar w:fldCharType="begin"/>
            </w:r>
            <w:r w:rsidR="00B01C8D">
              <w:rPr>
                <w:noProof/>
                <w:webHidden/>
              </w:rPr>
              <w:instrText xml:space="preserve"> PAGEREF _Toc145312198 \h </w:instrText>
            </w:r>
            <w:r w:rsidR="00B01C8D">
              <w:rPr>
                <w:noProof/>
                <w:webHidden/>
              </w:rPr>
            </w:r>
            <w:r w:rsidR="00B01C8D">
              <w:rPr>
                <w:noProof/>
                <w:webHidden/>
              </w:rPr>
              <w:fldChar w:fldCharType="separate"/>
            </w:r>
            <w:r w:rsidR="00B01C8D">
              <w:rPr>
                <w:noProof/>
                <w:webHidden/>
              </w:rPr>
              <w:t>18</w:t>
            </w:r>
            <w:r w:rsidR="00B01C8D">
              <w:rPr>
                <w:noProof/>
                <w:webHidden/>
              </w:rPr>
              <w:fldChar w:fldCharType="end"/>
            </w:r>
          </w:hyperlink>
        </w:p>
        <w:p w14:paraId="75E40380" w14:textId="547A8D08" w:rsidR="00B01C8D" w:rsidRDefault="0009707E">
          <w:pPr>
            <w:pStyle w:val="TM1"/>
            <w:tabs>
              <w:tab w:val="right" w:leader="dot" w:pos="9060"/>
            </w:tabs>
            <w:rPr>
              <w:rFonts w:eastAsiaTheme="minorEastAsia"/>
              <w:noProof/>
              <w:lang w:eastAsia="fr-FR"/>
            </w:rPr>
          </w:pPr>
          <w:hyperlink w:anchor="_Toc145312199" w:history="1">
            <w:r w:rsidR="00B01C8D" w:rsidRPr="00AD1BEB">
              <w:rPr>
                <w:rStyle w:val="Lienhypertexte"/>
                <w:noProof/>
              </w:rPr>
              <w:t>ANNEXE 2 : Taux de rétrocession minimum et taux de rémunération maximum, base éligible plancher</w:t>
            </w:r>
            <w:r w:rsidR="00B01C8D">
              <w:rPr>
                <w:noProof/>
                <w:webHidden/>
              </w:rPr>
              <w:tab/>
            </w:r>
            <w:r w:rsidR="00B01C8D">
              <w:rPr>
                <w:noProof/>
                <w:webHidden/>
              </w:rPr>
              <w:fldChar w:fldCharType="begin"/>
            </w:r>
            <w:r w:rsidR="00B01C8D">
              <w:rPr>
                <w:noProof/>
                <w:webHidden/>
              </w:rPr>
              <w:instrText xml:space="preserve"> PAGEREF _Toc145312199 \h </w:instrText>
            </w:r>
            <w:r w:rsidR="00B01C8D">
              <w:rPr>
                <w:noProof/>
                <w:webHidden/>
              </w:rPr>
            </w:r>
            <w:r w:rsidR="00B01C8D">
              <w:rPr>
                <w:noProof/>
                <w:webHidden/>
              </w:rPr>
              <w:fldChar w:fldCharType="separate"/>
            </w:r>
            <w:r w:rsidR="00B01C8D">
              <w:rPr>
                <w:noProof/>
                <w:webHidden/>
              </w:rPr>
              <w:t>19</w:t>
            </w:r>
            <w:r w:rsidR="00B01C8D">
              <w:rPr>
                <w:noProof/>
                <w:webHidden/>
              </w:rPr>
              <w:fldChar w:fldCharType="end"/>
            </w:r>
          </w:hyperlink>
        </w:p>
        <w:p w14:paraId="476745B4" w14:textId="25BC8338" w:rsidR="00B01C8D" w:rsidRDefault="0009707E">
          <w:pPr>
            <w:pStyle w:val="TM1"/>
            <w:tabs>
              <w:tab w:val="right" w:leader="dot" w:pos="9060"/>
            </w:tabs>
            <w:rPr>
              <w:rFonts w:eastAsiaTheme="minorEastAsia"/>
              <w:noProof/>
              <w:lang w:eastAsia="fr-FR"/>
            </w:rPr>
          </w:pPr>
          <w:hyperlink w:anchor="_Toc145312200" w:history="1">
            <w:r w:rsidR="00B01C8D" w:rsidRPr="00AD1BEB">
              <w:rPr>
                <w:rStyle w:val="Lienhypertexte"/>
                <w:noProof/>
              </w:rPr>
              <w:t>ANNEXE 2 : Taux de rétrocession minimum et taux de rémunération maximum, base éligible plancher (suite)</w:t>
            </w:r>
            <w:r w:rsidR="00B01C8D">
              <w:rPr>
                <w:noProof/>
                <w:webHidden/>
              </w:rPr>
              <w:tab/>
            </w:r>
            <w:r w:rsidR="00B01C8D">
              <w:rPr>
                <w:noProof/>
                <w:webHidden/>
              </w:rPr>
              <w:fldChar w:fldCharType="begin"/>
            </w:r>
            <w:r w:rsidR="00B01C8D">
              <w:rPr>
                <w:noProof/>
                <w:webHidden/>
              </w:rPr>
              <w:instrText xml:space="preserve"> PAGEREF _Toc145312200 \h </w:instrText>
            </w:r>
            <w:r w:rsidR="00B01C8D">
              <w:rPr>
                <w:noProof/>
                <w:webHidden/>
              </w:rPr>
            </w:r>
            <w:r w:rsidR="00B01C8D">
              <w:rPr>
                <w:noProof/>
                <w:webHidden/>
              </w:rPr>
              <w:fldChar w:fldCharType="separate"/>
            </w:r>
            <w:r w:rsidR="00B01C8D">
              <w:rPr>
                <w:noProof/>
                <w:webHidden/>
              </w:rPr>
              <w:t>20</w:t>
            </w:r>
            <w:r w:rsidR="00B01C8D">
              <w:rPr>
                <w:noProof/>
                <w:webHidden/>
              </w:rPr>
              <w:fldChar w:fldCharType="end"/>
            </w:r>
          </w:hyperlink>
        </w:p>
        <w:p w14:paraId="5FE9DC23" w14:textId="65D3CC01" w:rsidR="00B01C8D" w:rsidRDefault="0009707E">
          <w:pPr>
            <w:pStyle w:val="TM1"/>
            <w:tabs>
              <w:tab w:val="right" w:leader="dot" w:pos="9060"/>
            </w:tabs>
            <w:rPr>
              <w:rFonts w:eastAsiaTheme="minorEastAsia"/>
              <w:noProof/>
              <w:lang w:eastAsia="fr-FR"/>
            </w:rPr>
          </w:pPr>
          <w:hyperlink w:anchor="_Toc145312201" w:history="1">
            <w:r w:rsidR="00B01C8D" w:rsidRPr="00AD1BEB">
              <w:rPr>
                <w:rStyle w:val="Lienhypertexte"/>
                <w:noProof/>
              </w:rPr>
              <w:t>ANNEXE 2 : ANNEXE 2 : Taux de rétrocession minimum et taux de rémunération maximum, base éligible plancher (suite)</w:t>
            </w:r>
            <w:r w:rsidR="00B01C8D">
              <w:rPr>
                <w:noProof/>
                <w:webHidden/>
              </w:rPr>
              <w:tab/>
            </w:r>
            <w:r w:rsidR="00B01C8D">
              <w:rPr>
                <w:noProof/>
                <w:webHidden/>
              </w:rPr>
              <w:fldChar w:fldCharType="begin"/>
            </w:r>
            <w:r w:rsidR="00B01C8D">
              <w:rPr>
                <w:noProof/>
                <w:webHidden/>
              </w:rPr>
              <w:instrText xml:space="preserve"> PAGEREF _Toc145312201 \h </w:instrText>
            </w:r>
            <w:r w:rsidR="00B01C8D">
              <w:rPr>
                <w:noProof/>
                <w:webHidden/>
              </w:rPr>
            </w:r>
            <w:r w:rsidR="00B01C8D">
              <w:rPr>
                <w:noProof/>
                <w:webHidden/>
              </w:rPr>
              <w:fldChar w:fldCharType="separate"/>
            </w:r>
            <w:r w:rsidR="00B01C8D">
              <w:rPr>
                <w:noProof/>
                <w:webHidden/>
              </w:rPr>
              <w:t>21</w:t>
            </w:r>
            <w:r w:rsidR="00B01C8D">
              <w:rPr>
                <w:noProof/>
                <w:webHidden/>
              </w:rPr>
              <w:fldChar w:fldCharType="end"/>
            </w:r>
          </w:hyperlink>
        </w:p>
        <w:p w14:paraId="29AF0B13" w14:textId="688E362B" w:rsidR="00B01C8D" w:rsidRDefault="0009707E">
          <w:pPr>
            <w:pStyle w:val="TM1"/>
            <w:tabs>
              <w:tab w:val="right" w:leader="dot" w:pos="9060"/>
            </w:tabs>
            <w:rPr>
              <w:rFonts w:eastAsiaTheme="minorEastAsia"/>
              <w:noProof/>
              <w:lang w:eastAsia="fr-FR"/>
            </w:rPr>
          </w:pPr>
          <w:hyperlink w:anchor="_Toc145312202" w:history="1">
            <w:r w:rsidR="00B01C8D" w:rsidRPr="00AD1BEB">
              <w:rPr>
                <w:rStyle w:val="Lienhypertexte"/>
                <w:noProof/>
              </w:rPr>
              <w:t>ANNEXE 3 : Base éligible plafond pour les opérations visées à l’article 199 undecies C</w:t>
            </w:r>
            <w:r w:rsidR="00B01C8D">
              <w:rPr>
                <w:noProof/>
                <w:webHidden/>
              </w:rPr>
              <w:tab/>
            </w:r>
            <w:r w:rsidR="00B01C8D">
              <w:rPr>
                <w:noProof/>
                <w:webHidden/>
              </w:rPr>
              <w:fldChar w:fldCharType="begin"/>
            </w:r>
            <w:r w:rsidR="00B01C8D">
              <w:rPr>
                <w:noProof/>
                <w:webHidden/>
              </w:rPr>
              <w:instrText xml:space="preserve"> PAGEREF _Toc145312202 \h </w:instrText>
            </w:r>
            <w:r w:rsidR="00B01C8D">
              <w:rPr>
                <w:noProof/>
                <w:webHidden/>
              </w:rPr>
            </w:r>
            <w:r w:rsidR="00B01C8D">
              <w:rPr>
                <w:noProof/>
                <w:webHidden/>
              </w:rPr>
              <w:fldChar w:fldCharType="separate"/>
            </w:r>
            <w:r w:rsidR="00B01C8D">
              <w:rPr>
                <w:noProof/>
                <w:webHidden/>
              </w:rPr>
              <w:t>22</w:t>
            </w:r>
            <w:r w:rsidR="00B01C8D">
              <w:rPr>
                <w:noProof/>
                <w:webHidden/>
              </w:rPr>
              <w:fldChar w:fldCharType="end"/>
            </w:r>
          </w:hyperlink>
        </w:p>
        <w:p w14:paraId="3B48A202" w14:textId="0FA2C8F9" w:rsidR="00B01C8D" w:rsidRDefault="0009707E">
          <w:pPr>
            <w:pStyle w:val="TM1"/>
            <w:tabs>
              <w:tab w:val="right" w:leader="dot" w:pos="9060"/>
            </w:tabs>
            <w:rPr>
              <w:rFonts w:eastAsiaTheme="minorEastAsia"/>
              <w:noProof/>
              <w:lang w:eastAsia="fr-FR"/>
            </w:rPr>
          </w:pPr>
          <w:hyperlink w:anchor="_Toc145312203" w:history="1">
            <w:r w:rsidR="00B01C8D" w:rsidRPr="00AD1BEB">
              <w:rPr>
                <w:rStyle w:val="Lienhypertexte"/>
                <w:noProof/>
              </w:rPr>
              <w:t>ANNEXE 4 : Délai maximal de versement de la rétrocession et pénalités de retard</w:t>
            </w:r>
            <w:r w:rsidR="00B01C8D">
              <w:rPr>
                <w:noProof/>
                <w:webHidden/>
              </w:rPr>
              <w:tab/>
            </w:r>
            <w:r w:rsidR="00B01C8D">
              <w:rPr>
                <w:noProof/>
                <w:webHidden/>
              </w:rPr>
              <w:fldChar w:fldCharType="begin"/>
            </w:r>
            <w:r w:rsidR="00B01C8D">
              <w:rPr>
                <w:noProof/>
                <w:webHidden/>
              </w:rPr>
              <w:instrText xml:space="preserve"> PAGEREF _Toc145312203 \h </w:instrText>
            </w:r>
            <w:r w:rsidR="00B01C8D">
              <w:rPr>
                <w:noProof/>
                <w:webHidden/>
              </w:rPr>
            </w:r>
            <w:r w:rsidR="00B01C8D">
              <w:rPr>
                <w:noProof/>
                <w:webHidden/>
              </w:rPr>
              <w:fldChar w:fldCharType="separate"/>
            </w:r>
            <w:r w:rsidR="00B01C8D">
              <w:rPr>
                <w:noProof/>
                <w:webHidden/>
              </w:rPr>
              <w:t>23</w:t>
            </w:r>
            <w:r w:rsidR="00B01C8D">
              <w:rPr>
                <w:noProof/>
                <w:webHidden/>
              </w:rPr>
              <w:fldChar w:fldCharType="end"/>
            </w:r>
          </w:hyperlink>
        </w:p>
        <w:p w14:paraId="6C7BF2DA" w14:textId="7A08D222" w:rsidR="00B01C8D" w:rsidRDefault="0009707E">
          <w:pPr>
            <w:pStyle w:val="TM1"/>
            <w:tabs>
              <w:tab w:val="right" w:leader="dot" w:pos="9060"/>
            </w:tabs>
            <w:rPr>
              <w:rFonts w:eastAsiaTheme="minorEastAsia"/>
              <w:noProof/>
              <w:lang w:eastAsia="fr-FR"/>
            </w:rPr>
          </w:pPr>
          <w:hyperlink w:anchor="_Toc145312204" w:history="1">
            <w:r w:rsidR="00B01C8D" w:rsidRPr="00AD1BEB">
              <w:rPr>
                <w:rStyle w:val="Lienhypertexte"/>
                <w:noProof/>
              </w:rPr>
              <w:t>ANNEXE 5 : Mémoire technique</w:t>
            </w:r>
            <w:r w:rsidR="00B01C8D">
              <w:rPr>
                <w:noProof/>
                <w:webHidden/>
              </w:rPr>
              <w:tab/>
            </w:r>
            <w:r w:rsidR="00B01C8D">
              <w:rPr>
                <w:noProof/>
                <w:webHidden/>
              </w:rPr>
              <w:fldChar w:fldCharType="begin"/>
            </w:r>
            <w:r w:rsidR="00B01C8D">
              <w:rPr>
                <w:noProof/>
                <w:webHidden/>
              </w:rPr>
              <w:instrText xml:space="preserve"> PAGEREF _Toc145312204 \h </w:instrText>
            </w:r>
            <w:r w:rsidR="00B01C8D">
              <w:rPr>
                <w:noProof/>
                <w:webHidden/>
              </w:rPr>
            </w:r>
            <w:r w:rsidR="00B01C8D">
              <w:rPr>
                <w:noProof/>
                <w:webHidden/>
              </w:rPr>
              <w:fldChar w:fldCharType="separate"/>
            </w:r>
            <w:r w:rsidR="00B01C8D">
              <w:rPr>
                <w:noProof/>
                <w:webHidden/>
              </w:rPr>
              <w:t>24</w:t>
            </w:r>
            <w:r w:rsidR="00B01C8D">
              <w:rPr>
                <w:noProof/>
                <w:webHidden/>
              </w:rPr>
              <w:fldChar w:fldCharType="end"/>
            </w:r>
          </w:hyperlink>
        </w:p>
        <w:p w14:paraId="6A208403" w14:textId="61929203" w:rsidR="00B01C8D" w:rsidRDefault="0009707E">
          <w:pPr>
            <w:pStyle w:val="TM1"/>
            <w:tabs>
              <w:tab w:val="right" w:leader="dot" w:pos="9060"/>
            </w:tabs>
            <w:rPr>
              <w:rFonts w:eastAsiaTheme="minorEastAsia"/>
              <w:noProof/>
              <w:lang w:eastAsia="fr-FR"/>
            </w:rPr>
          </w:pPr>
          <w:hyperlink w:anchor="_Toc145312205" w:history="1">
            <w:r w:rsidR="00B01C8D" w:rsidRPr="00AD1BEB">
              <w:rPr>
                <w:rStyle w:val="Lienhypertexte"/>
                <w:noProof/>
              </w:rPr>
              <w:t>ANNEXE 6 : Débouclage de l’opération et pénalités de retard</w:t>
            </w:r>
            <w:r w:rsidR="00B01C8D">
              <w:rPr>
                <w:noProof/>
                <w:webHidden/>
              </w:rPr>
              <w:tab/>
            </w:r>
            <w:r w:rsidR="00B01C8D">
              <w:rPr>
                <w:noProof/>
                <w:webHidden/>
              </w:rPr>
              <w:fldChar w:fldCharType="begin"/>
            </w:r>
            <w:r w:rsidR="00B01C8D">
              <w:rPr>
                <w:noProof/>
                <w:webHidden/>
              </w:rPr>
              <w:instrText xml:space="preserve"> PAGEREF _Toc145312205 \h </w:instrText>
            </w:r>
            <w:r w:rsidR="00B01C8D">
              <w:rPr>
                <w:noProof/>
                <w:webHidden/>
              </w:rPr>
            </w:r>
            <w:r w:rsidR="00B01C8D">
              <w:rPr>
                <w:noProof/>
                <w:webHidden/>
              </w:rPr>
              <w:fldChar w:fldCharType="separate"/>
            </w:r>
            <w:r w:rsidR="00B01C8D">
              <w:rPr>
                <w:noProof/>
                <w:webHidden/>
              </w:rPr>
              <w:t>25</w:t>
            </w:r>
            <w:r w:rsidR="00B01C8D">
              <w:rPr>
                <w:noProof/>
                <w:webHidden/>
              </w:rPr>
              <w:fldChar w:fldCharType="end"/>
            </w:r>
          </w:hyperlink>
        </w:p>
        <w:p w14:paraId="603E5550" w14:textId="35A264DD" w:rsidR="00A73A87" w:rsidRDefault="00A73A87">
          <w:r>
            <w:rPr>
              <w:b/>
              <w:bCs/>
            </w:rPr>
            <w:fldChar w:fldCharType="end"/>
          </w:r>
        </w:p>
      </w:sdtContent>
    </w:sdt>
    <w:p w14:paraId="525BC95C" w14:textId="77777777" w:rsidR="005149A5" w:rsidRDefault="005149A5" w:rsidP="00B07604">
      <w:pPr>
        <w:rPr>
          <w:sz w:val="24"/>
        </w:rPr>
      </w:pPr>
    </w:p>
    <w:p w14:paraId="2648AC75" w14:textId="77777777" w:rsidR="005149A5" w:rsidRDefault="005149A5" w:rsidP="00BF6764">
      <w:pPr>
        <w:jc w:val="center"/>
        <w:rPr>
          <w:sz w:val="24"/>
        </w:rPr>
      </w:pPr>
    </w:p>
    <w:p w14:paraId="75480DA1" w14:textId="77777777" w:rsidR="0060715B" w:rsidRDefault="0060715B">
      <w:pPr>
        <w:rPr>
          <w:sz w:val="24"/>
        </w:rPr>
        <w:sectPr w:rsidR="0060715B" w:rsidSect="00026564">
          <w:footerReference w:type="default" r:id="rId10"/>
          <w:pgSz w:w="11906" w:h="16838"/>
          <w:pgMar w:top="1418" w:right="1418" w:bottom="1418" w:left="1418" w:header="709" w:footer="0" w:gutter="0"/>
          <w:cols w:space="708"/>
          <w:titlePg/>
          <w:docGrid w:linePitch="360"/>
        </w:sectPr>
      </w:pPr>
    </w:p>
    <w:p w14:paraId="017E4A5C" w14:textId="77777777" w:rsidR="005149A5" w:rsidRPr="009801E8" w:rsidRDefault="00AB3648" w:rsidP="009801E8">
      <w:pPr>
        <w:pStyle w:val="Titre1"/>
      </w:pPr>
      <w:bookmarkStart w:id="0" w:name="_Toc145312157"/>
      <w:r>
        <w:lastRenderedPageBreak/>
        <w:t>PARTIE 1 :</w:t>
      </w:r>
      <w:r w:rsidR="009801E8" w:rsidRPr="009801E8">
        <w:t xml:space="preserve"> </w:t>
      </w:r>
      <w:r>
        <w:t>Clauses relatives à l’accord-cadre</w:t>
      </w:r>
      <w:bookmarkEnd w:id="0"/>
    </w:p>
    <w:p w14:paraId="64F76843" w14:textId="77777777" w:rsidR="00C869B8" w:rsidRDefault="009801E8" w:rsidP="00C869B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1" w:name="_Toc145312158"/>
      <w:r w:rsidRPr="00AB3648">
        <w:rPr>
          <w:bCs w:val="0"/>
          <w:color w:val="17365D" w:themeColor="text2" w:themeShade="BF"/>
          <w:spacing w:val="5"/>
          <w:kern w:val="28"/>
          <w:sz w:val="28"/>
          <w:szCs w:val="52"/>
        </w:rPr>
        <w:t xml:space="preserve">Article 1 – Objet </w:t>
      </w:r>
      <w:r w:rsidR="00810C9D">
        <w:rPr>
          <w:bCs w:val="0"/>
          <w:color w:val="17365D" w:themeColor="text2" w:themeShade="BF"/>
          <w:spacing w:val="5"/>
          <w:kern w:val="28"/>
          <w:sz w:val="28"/>
          <w:szCs w:val="52"/>
        </w:rPr>
        <w:t xml:space="preserve">et dispositions </w:t>
      </w:r>
      <w:r w:rsidRPr="00AB3648">
        <w:rPr>
          <w:bCs w:val="0"/>
          <w:color w:val="17365D" w:themeColor="text2" w:themeShade="BF"/>
          <w:spacing w:val="5"/>
          <w:kern w:val="28"/>
          <w:sz w:val="28"/>
          <w:szCs w:val="52"/>
        </w:rPr>
        <w:t>de l’</w:t>
      </w:r>
      <w:r w:rsidR="001E290D">
        <w:rPr>
          <w:bCs w:val="0"/>
          <w:color w:val="17365D" w:themeColor="text2" w:themeShade="BF"/>
          <w:spacing w:val="5"/>
          <w:kern w:val="28"/>
          <w:sz w:val="28"/>
          <w:szCs w:val="52"/>
        </w:rPr>
        <w:t>accord-cadre</w:t>
      </w:r>
      <w:bookmarkEnd w:id="1"/>
    </w:p>
    <w:p w14:paraId="0267BF11" w14:textId="77777777" w:rsidR="00C869B8" w:rsidRPr="00C869B8" w:rsidRDefault="00C869B8" w:rsidP="00C869B8">
      <w:pPr>
        <w:pStyle w:val="Titre3"/>
      </w:pPr>
      <w:bookmarkStart w:id="2" w:name="_Toc145312159"/>
      <w:r w:rsidRPr="00C869B8">
        <w:t>Objet de l’</w:t>
      </w:r>
      <w:r w:rsidR="001E290D">
        <w:t>accord-cadre</w:t>
      </w:r>
      <w:bookmarkEnd w:id="2"/>
    </w:p>
    <w:p w14:paraId="61199D41" w14:textId="43ECA169" w:rsidR="005149A5" w:rsidRDefault="005149A5" w:rsidP="005149A5">
      <w:pPr>
        <w:jc w:val="both"/>
        <w:rPr>
          <w:sz w:val="24"/>
        </w:rPr>
      </w:pPr>
      <w:r w:rsidRPr="005149A5">
        <w:rPr>
          <w:sz w:val="24"/>
        </w:rPr>
        <w:t>Le</w:t>
      </w:r>
      <w:r>
        <w:rPr>
          <w:sz w:val="24"/>
        </w:rPr>
        <w:t xml:space="preserve"> Fonds Calédonien de l’Habitat</w:t>
      </w:r>
      <w:r w:rsidR="00FD4C3D">
        <w:rPr>
          <w:sz w:val="24"/>
        </w:rPr>
        <w:t xml:space="preserve"> (FCH)</w:t>
      </w:r>
      <w:r>
        <w:rPr>
          <w:sz w:val="24"/>
        </w:rPr>
        <w:t xml:space="preserve">, filiale du </w:t>
      </w:r>
      <w:r w:rsidRPr="005149A5">
        <w:rPr>
          <w:sz w:val="24"/>
        </w:rPr>
        <w:t>Fonds Social de l'Habitat (FSH)</w:t>
      </w:r>
      <w:r>
        <w:rPr>
          <w:sz w:val="24"/>
        </w:rPr>
        <w:t>, réalise des opérations de construction et de réhabilitatio</w:t>
      </w:r>
      <w:r w:rsidR="00FD4C3D">
        <w:rPr>
          <w:sz w:val="24"/>
        </w:rPr>
        <w:t xml:space="preserve">n de logements locatifs sociaux en Nouvelle-Calédonie. Ces opérations sont en partie financées par l’intermédiaire des dispositifs fiscaux prévus par les articles 199 </w:t>
      </w:r>
      <w:proofErr w:type="spellStart"/>
      <w:r w:rsidR="00FD4C3D">
        <w:rPr>
          <w:sz w:val="24"/>
        </w:rPr>
        <w:t>undecies</w:t>
      </w:r>
      <w:proofErr w:type="spellEnd"/>
      <w:r w:rsidR="00FD4C3D">
        <w:rPr>
          <w:sz w:val="24"/>
        </w:rPr>
        <w:t xml:space="preserve"> C et </w:t>
      </w:r>
      <w:r w:rsidR="00545718">
        <w:rPr>
          <w:sz w:val="24"/>
        </w:rPr>
        <w:t>244 quarter Y</w:t>
      </w:r>
      <w:r w:rsidR="00FD4C3D">
        <w:rPr>
          <w:sz w:val="24"/>
        </w:rPr>
        <w:t xml:space="preserve"> du Code général des impôts.</w:t>
      </w:r>
    </w:p>
    <w:p w14:paraId="2EB2BBA8" w14:textId="77777777" w:rsidR="00AB3648" w:rsidRDefault="00AB3648" w:rsidP="005149A5">
      <w:pPr>
        <w:jc w:val="both"/>
        <w:rPr>
          <w:sz w:val="24"/>
        </w:rPr>
      </w:pPr>
      <w:r>
        <w:rPr>
          <w:sz w:val="24"/>
        </w:rPr>
        <w:t>Le présent accord-cadre a pour objet de :</w:t>
      </w:r>
    </w:p>
    <w:p w14:paraId="19D5DBDF" w14:textId="589987E2" w:rsidR="00C869B8" w:rsidRPr="002F7C4C" w:rsidRDefault="00C869B8" w:rsidP="00DE14AD">
      <w:pPr>
        <w:pStyle w:val="Paragraphedeliste"/>
        <w:numPr>
          <w:ilvl w:val="0"/>
          <w:numId w:val="1"/>
        </w:numPr>
        <w:jc w:val="both"/>
        <w:rPr>
          <w:sz w:val="24"/>
        </w:rPr>
      </w:pPr>
      <w:r w:rsidRPr="002F7C4C">
        <w:rPr>
          <w:sz w:val="24"/>
        </w:rPr>
        <w:t>Définir les termes régissant les marchés à passer dans le cadre du</w:t>
      </w:r>
      <w:r w:rsidR="00810C9D" w:rsidRPr="002F7C4C">
        <w:rPr>
          <w:sz w:val="24"/>
        </w:rPr>
        <w:t xml:space="preserve"> </w:t>
      </w:r>
      <w:r w:rsidRPr="002F7C4C">
        <w:rPr>
          <w:sz w:val="24"/>
        </w:rPr>
        <w:t>présent</w:t>
      </w:r>
      <w:r w:rsidR="00810C9D" w:rsidRPr="002F7C4C">
        <w:rPr>
          <w:sz w:val="24"/>
        </w:rPr>
        <w:t xml:space="preserve"> </w:t>
      </w:r>
      <w:r w:rsidRPr="002F7C4C">
        <w:rPr>
          <w:sz w:val="24"/>
        </w:rPr>
        <w:t>accord-cadre,</w:t>
      </w:r>
      <w:r w:rsidR="00810C9D" w:rsidRPr="002F7C4C">
        <w:rPr>
          <w:sz w:val="24"/>
        </w:rPr>
        <w:t xml:space="preserve"> </w:t>
      </w:r>
      <w:r w:rsidRPr="002F7C4C">
        <w:rPr>
          <w:sz w:val="24"/>
        </w:rPr>
        <w:t>avec</w:t>
      </w:r>
      <w:r w:rsidR="001A032E" w:rsidRPr="002F7C4C">
        <w:rPr>
          <w:sz w:val="24"/>
        </w:rPr>
        <w:t xml:space="preserve"> </w:t>
      </w:r>
      <w:r w:rsidRPr="002F7C4C">
        <w:rPr>
          <w:sz w:val="24"/>
        </w:rPr>
        <w:t>les</w:t>
      </w:r>
      <w:r w:rsidR="00810C9D" w:rsidRPr="002F7C4C">
        <w:rPr>
          <w:sz w:val="24"/>
        </w:rPr>
        <w:t xml:space="preserve"> </w:t>
      </w:r>
      <w:r w:rsidRPr="002F7C4C">
        <w:rPr>
          <w:sz w:val="24"/>
        </w:rPr>
        <w:t>entreprises</w:t>
      </w:r>
      <w:r w:rsidR="00810C9D" w:rsidRPr="002F7C4C">
        <w:rPr>
          <w:sz w:val="24"/>
        </w:rPr>
        <w:t xml:space="preserve"> </w:t>
      </w:r>
      <w:r w:rsidRPr="002F7C4C">
        <w:rPr>
          <w:sz w:val="24"/>
        </w:rPr>
        <w:t xml:space="preserve">(« </w:t>
      </w:r>
      <w:r w:rsidR="005F09D7">
        <w:rPr>
          <w:sz w:val="24"/>
        </w:rPr>
        <w:t>monteur</w:t>
      </w:r>
      <w:r w:rsidRPr="002F7C4C">
        <w:rPr>
          <w:sz w:val="24"/>
        </w:rPr>
        <w:t>s »)</w:t>
      </w:r>
      <w:r w:rsidR="00810C9D" w:rsidRPr="002F7C4C">
        <w:rPr>
          <w:sz w:val="24"/>
        </w:rPr>
        <w:t xml:space="preserve"> </w:t>
      </w:r>
      <w:r w:rsidRPr="002F7C4C">
        <w:rPr>
          <w:sz w:val="24"/>
        </w:rPr>
        <w:t>dont</w:t>
      </w:r>
      <w:r w:rsidR="00810C9D" w:rsidRPr="002F7C4C">
        <w:rPr>
          <w:sz w:val="24"/>
        </w:rPr>
        <w:t xml:space="preserve"> </w:t>
      </w:r>
      <w:r w:rsidRPr="002F7C4C">
        <w:rPr>
          <w:sz w:val="24"/>
        </w:rPr>
        <w:t>l’activité</w:t>
      </w:r>
      <w:r w:rsidR="00810C9D" w:rsidRPr="002F7C4C">
        <w:rPr>
          <w:sz w:val="24"/>
        </w:rPr>
        <w:t xml:space="preserve"> </w:t>
      </w:r>
      <w:r w:rsidRPr="002F7C4C">
        <w:rPr>
          <w:sz w:val="24"/>
        </w:rPr>
        <w:t>est</w:t>
      </w:r>
      <w:r w:rsidR="00810C9D" w:rsidRPr="002F7C4C">
        <w:rPr>
          <w:sz w:val="24"/>
        </w:rPr>
        <w:t xml:space="preserve"> </w:t>
      </w:r>
      <w:r w:rsidR="00D747DB">
        <w:rPr>
          <w:sz w:val="24"/>
        </w:rPr>
        <w:t>d’obtenir pour autrui</w:t>
      </w:r>
      <w:r w:rsidRPr="002F7C4C">
        <w:rPr>
          <w:sz w:val="24"/>
        </w:rPr>
        <w:t>,</w:t>
      </w:r>
      <w:r w:rsidR="00810C9D" w:rsidRPr="002F7C4C">
        <w:rPr>
          <w:sz w:val="24"/>
        </w:rPr>
        <w:t xml:space="preserve"> </w:t>
      </w:r>
      <w:r w:rsidRPr="002F7C4C">
        <w:rPr>
          <w:sz w:val="24"/>
        </w:rPr>
        <w:t>dans</w:t>
      </w:r>
      <w:r w:rsidR="00810C9D" w:rsidRPr="002F7C4C">
        <w:rPr>
          <w:sz w:val="24"/>
        </w:rPr>
        <w:t xml:space="preserve"> </w:t>
      </w:r>
      <w:r w:rsidRPr="002F7C4C">
        <w:rPr>
          <w:sz w:val="24"/>
        </w:rPr>
        <w:t>le</w:t>
      </w:r>
      <w:r w:rsidR="00810C9D" w:rsidRPr="002F7C4C">
        <w:rPr>
          <w:sz w:val="24"/>
        </w:rPr>
        <w:t xml:space="preserve"> </w:t>
      </w:r>
      <w:r w:rsidRPr="002F7C4C">
        <w:rPr>
          <w:sz w:val="24"/>
        </w:rPr>
        <w:t>cadre</w:t>
      </w:r>
      <w:r w:rsidR="00810C9D" w:rsidRPr="002F7C4C">
        <w:rPr>
          <w:sz w:val="24"/>
        </w:rPr>
        <w:t xml:space="preserve"> </w:t>
      </w:r>
      <w:r w:rsidRPr="002F7C4C">
        <w:rPr>
          <w:sz w:val="24"/>
        </w:rPr>
        <w:t xml:space="preserve">des dispositions de l’article 242 </w:t>
      </w:r>
      <w:proofErr w:type="spellStart"/>
      <w:r w:rsidRPr="002F7C4C">
        <w:rPr>
          <w:sz w:val="24"/>
        </w:rPr>
        <w:t>septies</w:t>
      </w:r>
      <w:proofErr w:type="spellEnd"/>
      <w:r w:rsidRPr="002F7C4C">
        <w:rPr>
          <w:sz w:val="24"/>
        </w:rPr>
        <w:t xml:space="preserve"> du Code général des impôts, </w:t>
      </w:r>
      <w:r w:rsidR="00D747DB">
        <w:rPr>
          <w:sz w:val="24"/>
        </w:rPr>
        <w:t xml:space="preserve">les avantages fiscaux prévus aux articles 199 </w:t>
      </w:r>
      <w:proofErr w:type="spellStart"/>
      <w:r w:rsidR="00D747DB">
        <w:rPr>
          <w:sz w:val="24"/>
        </w:rPr>
        <w:t>undecies</w:t>
      </w:r>
      <w:proofErr w:type="spellEnd"/>
      <w:r w:rsidR="00D747DB">
        <w:rPr>
          <w:sz w:val="24"/>
        </w:rPr>
        <w:t xml:space="preserve"> C et </w:t>
      </w:r>
      <w:r w:rsidR="00545718">
        <w:rPr>
          <w:sz w:val="24"/>
        </w:rPr>
        <w:t>244 quarter Y</w:t>
      </w:r>
      <w:r w:rsidR="00D747DB">
        <w:rPr>
          <w:sz w:val="24"/>
        </w:rPr>
        <w:t xml:space="preserve"> du Code général des impôts</w:t>
      </w:r>
      <w:r w:rsidRPr="002F7C4C">
        <w:rPr>
          <w:sz w:val="24"/>
        </w:rPr>
        <w:t>.</w:t>
      </w:r>
      <w:r w:rsidR="00810C9D" w:rsidRPr="002F7C4C">
        <w:rPr>
          <w:sz w:val="24"/>
        </w:rPr>
        <w:t xml:space="preserve"> </w:t>
      </w:r>
    </w:p>
    <w:p w14:paraId="3C60CA8F" w14:textId="77777777" w:rsidR="00C869B8" w:rsidRPr="002F7C4C" w:rsidRDefault="00C869B8" w:rsidP="00C869B8">
      <w:pPr>
        <w:pStyle w:val="Paragraphedeliste"/>
        <w:jc w:val="both"/>
        <w:rPr>
          <w:sz w:val="24"/>
        </w:rPr>
      </w:pPr>
    </w:p>
    <w:p w14:paraId="6847B3E7" w14:textId="77777777" w:rsidR="00C869B8" w:rsidRDefault="00C869B8" w:rsidP="00DE14AD">
      <w:pPr>
        <w:pStyle w:val="Paragraphedeliste"/>
        <w:numPr>
          <w:ilvl w:val="0"/>
          <w:numId w:val="1"/>
        </w:numPr>
        <w:jc w:val="both"/>
        <w:rPr>
          <w:sz w:val="24"/>
        </w:rPr>
      </w:pPr>
      <w:r w:rsidRPr="002F7C4C">
        <w:rPr>
          <w:sz w:val="24"/>
        </w:rPr>
        <w:t>Définir les règles générales relatives à l’attribution des marchés passés sur le fondement de cet accord-cadre, qualifiés de « marchés subséquents » en vue de confier à l’un des titulaires de l’accord-cadre</w:t>
      </w:r>
      <w:r w:rsidR="00810C9D" w:rsidRPr="002F7C4C">
        <w:rPr>
          <w:sz w:val="24"/>
        </w:rPr>
        <w:t xml:space="preserve"> </w:t>
      </w:r>
      <w:r w:rsidRPr="002F7C4C">
        <w:rPr>
          <w:sz w:val="24"/>
        </w:rPr>
        <w:t>multi-attributaires</w:t>
      </w:r>
      <w:r w:rsidR="00810C9D" w:rsidRPr="002F7C4C">
        <w:rPr>
          <w:sz w:val="24"/>
        </w:rPr>
        <w:t xml:space="preserve"> </w:t>
      </w:r>
      <w:r w:rsidR="00D747DB">
        <w:rPr>
          <w:sz w:val="24"/>
        </w:rPr>
        <w:t>l’ensemble des</w:t>
      </w:r>
      <w:r w:rsidR="00810C9D" w:rsidRPr="002F7C4C">
        <w:rPr>
          <w:sz w:val="24"/>
        </w:rPr>
        <w:t xml:space="preserve"> </w:t>
      </w:r>
      <w:r w:rsidRPr="002F7C4C">
        <w:rPr>
          <w:sz w:val="24"/>
        </w:rPr>
        <w:t>missions</w:t>
      </w:r>
      <w:r w:rsidR="00D747DB">
        <w:rPr>
          <w:sz w:val="24"/>
        </w:rPr>
        <w:t xml:space="preserve"> prévues à l’article </w:t>
      </w:r>
      <w:r w:rsidR="006408CE">
        <w:rPr>
          <w:sz w:val="24"/>
        </w:rPr>
        <w:t>7</w:t>
      </w:r>
      <w:r w:rsidR="00D747DB">
        <w:rPr>
          <w:sz w:val="24"/>
        </w:rPr>
        <w:t xml:space="preserve"> du présent accord-cadre pour une opération donnée</w:t>
      </w:r>
      <w:r w:rsidRPr="002F7C4C">
        <w:rPr>
          <w:sz w:val="24"/>
        </w:rPr>
        <w:t>.</w:t>
      </w:r>
      <w:r w:rsidR="00810C9D" w:rsidRPr="002F7C4C">
        <w:rPr>
          <w:sz w:val="24"/>
        </w:rPr>
        <w:t xml:space="preserve"> </w:t>
      </w:r>
    </w:p>
    <w:p w14:paraId="21CD8A99" w14:textId="77777777" w:rsidR="00C869B8" w:rsidRPr="00C869B8" w:rsidRDefault="00C869B8" w:rsidP="00C869B8">
      <w:pPr>
        <w:pStyle w:val="Titre3"/>
      </w:pPr>
      <w:bookmarkStart w:id="3" w:name="_Toc145312160"/>
      <w:r>
        <w:t>Durée de l’accord</w:t>
      </w:r>
      <w:r w:rsidR="00810C9D">
        <w:t>-</w:t>
      </w:r>
      <w:r>
        <w:t>cadre</w:t>
      </w:r>
      <w:bookmarkEnd w:id="3"/>
    </w:p>
    <w:p w14:paraId="1255003A" w14:textId="09E79A35" w:rsidR="008763F6" w:rsidRPr="008763F6" w:rsidRDefault="008763F6" w:rsidP="008763F6">
      <w:pPr>
        <w:jc w:val="both"/>
        <w:rPr>
          <w:sz w:val="24"/>
        </w:rPr>
      </w:pPr>
      <w:r w:rsidRPr="008763F6">
        <w:rPr>
          <w:sz w:val="24"/>
        </w:rPr>
        <w:t xml:space="preserve">La durée de l’accord-cadre est de 1 (un) an, renouvelable 2 (deux) fois. Sa prise d’effet commence à compter du </w:t>
      </w:r>
      <w:r w:rsidR="00B02DF6">
        <w:rPr>
          <w:sz w:val="24"/>
        </w:rPr>
        <w:t>1 janvier 2024</w:t>
      </w:r>
      <w:r w:rsidRPr="008763F6">
        <w:rPr>
          <w:sz w:val="24"/>
        </w:rPr>
        <w:t xml:space="preserve">. </w:t>
      </w:r>
    </w:p>
    <w:p w14:paraId="61F673D4" w14:textId="77777777" w:rsidR="008763F6" w:rsidRPr="008763F6" w:rsidRDefault="008763F6" w:rsidP="008763F6">
      <w:pPr>
        <w:jc w:val="both"/>
        <w:rPr>
          <w:sz w:val="24"/>
        </w:rPr>
      </w:pPr>
      <w:r w:rsidRPr="008763F6">
        <w:rPr>
          <w:sz w:val="24"/>
        </w:rPr>
        <w:t xml:space="preserve">Le renouvellement intervient par reconduction expresse au travers d’une notification, par le FCH, et par tout moyen à sa convenance au titulaire de l’accord-cadre dans le mois précédant le terme annuel de l’accord-cadre. </w:t>
      </w:r>
    </w:p>
    <w:p w14:paraId="073E3431" w14:textId="46C68626" w:rsidR="008763F6" w:rsidRDefault="008763F6" w:rsidP="008763F6">
      <w:pPr>
        <w:jc w:val="both"/>
        <w:rPr>
          <w:sz w:val="24"/>
        </w:rPr>
      </w:pPr>
      <w:r w:rsidRPr="008763F6">
        <w:rPr>
          <w:sz w:val="24"/>
        </w:rPr>
        <w:t>La durée d’exécution des marchés subséquents correspondra à la durée nécessaire au débouclage des opérations qui consiste en la récupération, par le FCH, de l’actif financé.</w:t>
      </w:r>
    </w:p>
    <w:p w14:paraId="2537C56E" w14:textId="02BDE5D2" w:rsidR="000D6736" w:rsidRDefault="000D6736" w:rsidP="000D6736">
      <w:pPr>
        <w:pStyle w:val="Titre3"/>
      </w:pPr>
      <w:bookmarkStart w:id="4" w:name="_Toc145312161"/>
      <w:r>
        <w:t>Nombre de titulaires</w:t>
      </w:r>
      <w:bookmarkEnd w:id="4"/>
    </w:p>
    <w:p w14:paraId="679DC562" w14:textId="77777777" w:rsidR="001E290D" w:rsidRDefault="000D6736" w:rsidP="001E290D">
      <w:pPr>
        <w:jc w:val="both"/>
        <w:rPr>
          <w:sz w:val="24"/>
        </w:rPr>
      </w:pPr>
      <w:r w:rsidRPr="000D6736">
        <w:rPr>
          <w:sz w:val="24"/>
        </w:rPr>
        <w:t>Le</w:t>
      </w:r>
      <w:r>
        <w:rPr>
          <w:sz w:val="24"/>
        </w:rPr>
        <w:t xml:space="preserve"> présent accord</w:t>
      </w:r>
      <w:r w:rsidR="001E290D">
        <w:rPr>
          <w:sz w:val="24"/>
        </w:rPr>
        <w:t xml:space="preserve">-cadre </w:t>
      </w:r>
      <w:r>
        <w:rPr>
          <w:sz w:val="24"/>
        </w:rPr>
        <w:t>est attribué à deux titulaires.</w:t>
      </w:r>
      <w:r w:rsidR="001E290D" w:rsidRPr="00250EC5">
        <w:rPr>
          <w:sz w:val="24"/>
        </w:rPr>
        <w:t xml:space="preserve"> Il appor</w:t>
      </w:r>
      <w:r w:rsidR="00250EC5" w:rsidRPr="00250EC5">
        <w:rPr>
          <w:sz w:val="24"/>
        </w:rPr>
        <w:t xml:space="preserve">te à chacun des titulaires une </w:t>
      </w:r>
      <w:r w:rsidR="001E290D" w:rsidRPr="00250EC5">
        <w:rPr>
          <w:sz w:val="24"/>
        </w:rPr>
        <w:t>garantie d'exclusivité de consultation lors de la passation des m</w:t>
      </w:r>
      <w:r w:rsidR="00250EC5" w:rsidRPr="00250EC5">
        <w:rPr>
          <w:sz w:val="24"/>
        </w:rPr>
        <w:t xml:space="preserve">archés subséquents, pendant la </w:t>
      </w:r>
      <w:r w:rsidR="001E290D" w:rsidRPr="00250EC5">
        <w:rPr>
          <w:sz w:val="24"/>
        </w:rPr>
        <w:t xml:space="preserve">durée de validité du présent accord-cadre et </w:t>
      </w:r>
      <w:r w:rsidR="00250EC5">
        <w:rPr>
          <w:sz w:val="24"/>
        </w:rPr>
        <w:t>a</w:t>
      </w:r>
      <w:r w:rsidR="001E290D" w:rsidRPr="00250EC5">
        <w:rPr>
          <w:sz w:val="24"/>
        </w:rPr>
        <w:t xml:space="preserve"> pour objet de dé</w:t>
      </w:r>
      <w:r w:rsidR="00250EC5" w:rsidRPr="00250EC5">
        <w:rPr>
          <w:sz w:val="24"/>
        </w:rPr>
        <w:t xml:space="preserve">finir les termes régissant les </w:t>
      </w:r>
      <w:r w:rsidR="001E290D" w:rsidRPr="00250EC5">
        <w:rPr>
          <w:sz w:val="24"/>
        </w:rPr>
        <w:t>marchés subséquents conclus sur son fondement.</w:t>
      </w:r>
    </w:p>
    <w:p w14:paraId="6DAB3F13" w14:textId="732C0899" w:rsidR="004564F6" w:rsidRPr="00250EC5" w:rsidRDefault="004564F6" w:rsidP="001E290D">
      <w:pPr>
        <w:jc w:val="both"/>
        <w:rPr>
          <w:sz w:val="24"/>
        </w:rPr>
      </w:pPr>
      <w:r w:rsidRPr="00904C62">
        <w:rPr>
          <w:sz w:val="24"/>
        </w:rPr>
        <w:lastRenderedPageBreak/>
        <w:t>En cas de rupture du contrat cadre à l’initiative de l’une des parties</w:t>
      </w:r>
      <w:r w:rsidR="001813FA" w:rsidRPr="00904C62">
        <w:rPr>
          <w:sz w:val="24"/>
        </w:rPr>
        <w:t>,</w:t>
      </w:r>
      <w:r w:rsidRPr="00904C62">
        <w:rPr>
          <w:sz w:val="24"/>
        </w:rPr>
        <w:t xml:space="preserve"> le soumissionnaire </w:t>
      </w:r>
      <w:r w:rsidR="00700F2A" w:rsidRPr="00904C62">
        <w:rPr>
          <w:sz w:val="24"/>
        </w:rPr>
        <w:t>dont l’offre aura obtenu la 3</w:t>
      </w:r>
      <w:r w:rsidR="00700F2A" w:rsidRPr="00904C62">
        <w:rPr>
          <w:sz w:val="24"/>
          <w:vertAlign w:val="superscript"/>
        </w:rPr>
        <w:t>ème</w:t>
      </w:r>
      <w:r w:rsidR="00700F2A" w:rsidRPr="00904C62">
        <w:rPr>
          <w:sz w:val="24"/>
        </w:rPr>
        <w:t xml:space="preserve"> meilleure évaluation se verra proposer de suppléer au titulaire sortant sans qu’il soit </w:t>
      </w:r>
      <w:r w:rsidR="00904C62" w:rsidRPr="00904C62">
        <w:rPr>
          <w:sz w:val="24"/>
        </w:rPr>
        <w:t>relancé</w:t>
      </w:r>
      <w:r w:rsidR="00700F2A" w:rsidRPr="00904C62">
        <w:rPr>
          <w:sz w:val="24"/>
        </w:rPr>
        <w:t xml:space="preserve"> une consultation. En cas d’impossibilité au suppléant ainsi désigné de contractualiser avec le FCH, l’offre suivante se verrait proposer de suppléer au titulaire.</w:t>
      </w:r>
    </w:p>
    <w:p w14:paraId="2AAA28D4" w14:textId="77777777" w:rsidR="000D6736" w:rsidRDefault="000D6736" w:rsidP="000D6736">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5CED19E4" w14:textId="77777777" w:rsidR="000D6736" w:rsidRDefault="000D6736" w:rsidP="000D6736">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5" w:name="_Toc145312162"/>
      <w:r w:rsidRPr="00AB3648">
        <w:rPr>
          <w:bCs w:val="0"/>
          <w:color w:val="17365D" w:themeColor="text2" w:themeShade="BF"/>
          <w:spacing w:val="5"/>
          <w:kern w:val="28"/>
          <w:sz w:val="28"/>
          <w:szCs w:val="52"/>
        </w:rPr>
        <w:t xml:space="preserve">Article </w:t>
      </w:r>
      <w:r w:rsidR="00810C9D">
        <w:rPr>
          <w:bCs w:val="0"/>
          <w:color w:val="17365D" w:themeColor="text2" w:themeShade="BF"/>
          <w:spacing w:val="5"/>
          <w:kern w:val="28"/>
          <w:sz w:val="28"/>
          <w:szCs w:val="52"/>
        </w:rPr>
        <w:t>2</w:t>
      </w:r>
      <w:r w:rsidRPr="00AB3648">
        <w:rPr>
          <w:bCs w:val="0"/>
          <w:color w:val="17365D" w:themeColor="text2" w:themeShade="BF"/>
          <w:spacing w:val="5"/>
          <w:kern w:val="28"/>
          <w:sz w:val="28"/>
          <w:szCs w:val="52"/>
        </w:rPr>
        <w:t xml:space="preserve"> – </w:t>
      </w:r>
      <w:r w:rsidR="00F803F5">
        <w:rPr>
          <w:bCs w:val="0"/>
          <w:color w:val="17365D" w:themeColor="text2" w:themeShade="BF"/>
          <w:spacing w:val="5"/>
          <w:kern w:val="28"/>
          <w:sz w:val="28"/>
          <w:szCs w:val="52"/>
        </w:rPr>
        <w:t>Pièces contractuelles de l’accord-cadre</w:t>
      </w:r>
      <w:bookmarkEnd w:id="5"/>
    </w:p>
    <w:p w14:paraId="0F07279B" w14:textId="77777777" w:rsidR="00F803F5" w:rsidRDefault="00F803F5" w:rsidP="00F803F5">
      <w:pPr>
        <w:jc w:val="both"/>
        <w:rPr>
          <w:sz w:val="24"/>
        </w:rPr>
      </w:pPr>
      <w:r w:rsidRPr="00F803F5">
        <w:rPr>
          <w:sz w:val="24"/>
        </w:rPr>
        <w:t>Le présent accord-cadre valant acte</w:t>
      </w:r>
      <w:r>
        <w:rPr>
          <w:sz w:val="24"/>
        </w:rPr>
        <w:t xml:space="preserve"> d’engagement et ses annexes : </w:t>
      </w:r>
    </w:p>
    <w:p w14:paraId="20872EBE" w14:textId="77777777" w:rsidR="000A1373" w:rsidRPr="000A1373" w:rsidRDefault="000A1373" w:rsidP="000A1373">
      <w:pPr>
        <w:pStyle w:val="Paragraphedeliste"/>
        <w:numPr>
          <w:ilvl w:val="0"/>
          <w:numId w:val="13"/>
        </w:numPr>
        <w:jc w:val="both"/>
        <w:rPr>
          <w:sz w:val="24"/>
        </w:rPr>
      </w:pPr>
      <w:r w:rsidRPr="000A1373">
        <w:rPr>
          <w:sz w:val="24"/>
        </w:rPr>
        <w:t xml:space="preserve">Annexe 1 : Présentation de l’organisation proposée pour réaliser les prestations relatives aux marchés subséquents ; </w:t>
      </w:r>
    </w:p>
    <w:p w14:paraId="7D18E2CC" w14:textId="4D859ECF" w:rsidR="000A1373" w:rsidRPr="000A1373" w:rsidRDefault="000A1373" w:rsidP="005B0C86">
      <w:pPr>
        <w:pStyle w:val="Paragraphedeliste"/>
        <w:numPr>
          <w:ilvl w:val="0"/>
          <w:numId w:val="13"/>
        </w:numPr>
        <w:jc w:val="both"/>
        <w:rPr>
          <w:sz w:val="24"/>
        </w:rPr>
      </w:pPr>
      <w:r w:rsidRPr="000A1373">
        <w:rPr>
          <w:sz w:val="24"/>
        </w:rPr>
        <w:t xml:space="preserve">Annexe 2 : </w:t>
      </w:r>
      <w:r w:rsidR="005B0C86" w:rsidRPr="005B0C86">
        <w:rPr>
          <w:sz w:val="24"/>
        </w:rPr>
        <w:t>Taux de rétrocession minimum et taux de rémunération maximum</w:t>
      </w:r>
      <w:r w:rsidR="00B15E23">
        <w:rPr>
          <w:sz w:val="24"/>
        </w:rPr>
        <w:t>, base éligible plancher</w:t>
      </w:r>
      <w:r w:rsidR="005B0C86">
        <w:rPr>
          <w:sz w:val="24"/>
        </w:rPr>
        <w:t xml:space="preserve"> </w:t>
      </w:r>
      <w:r w:rsidRPr="000A1373">
        <w:rPr>
          <w:sz w:val="24"/>
        </w:rPr>
        <w:t>;</w:t>
      </w:r>
    </w:p>
    <w:p w14:paraId="3EC199A8" w14:textId="77777777" w:rsidR="000A1373" w:rsidRPr="000A1373" w:rsidRDefault="000A1373" w:rsidP="000A1373">
      <w:pPr>
        <w:pStyle w:val="Paragraphedeliste"/>
        <w:numPr>
          <w:ilvl w:val="0"/>
          <w:numId w:val="13"/>
        </w:numPr>
        <w:jc w:val="both"/>
        <w:rPr>
          <w:sz w:val="24"/>
        </w:rPr>
      </w:pPr>
      <w:r w:rsidRPr="000A1373">
        <w:rPr>
          <w:sz w:val="24"/>
        </w:rPr>
        <w:t xml:space="preserve">Annexe 3 : Base éligible plafond pour les opérations visées à l’article 199 </w:t>
      </w:r>
      <w:proofErr w:type="spellStart"/>
      <w:r w:rsidRPr="000A1373">
        <w:rPr>
          <w:sz w:val="24"/>
        </w:rPr>
        <w:t>undecies</w:t>
      </w:r>
      <w:proofErr w:type="spellEnd"/>
      <w:r w:rsidRPr="000A1373">
        <w:rPr>
          <w:sz w:val="24"/>
        </w:rPr>
        <w:t xml:space="preserve"> C ;</w:t>
      </w:r>
    </w:p>
    <w:p w14:paraId="24308B17" w14:textId="77777777" w:rsidR="000A1373" w:rsidRPr="000A1373" w:rsidRDefault="000A1373" w:rsidP="000A1373">
      <w:pPr>
        <w:pStyle w:val="Paragraphedeliste"/>
        <w:numPr>
          <w:ilvl w:val="0"/>
          <w:numId w:val="13"/>
        </w:numPr>
        <w:jc w:val="both"/>
        <w:rPr>
          <w:sz w:val="24"/>
        </w:rPr>
      </w:pPr>
      <w:r w:rsidRPr="000A1373">
        <w:rPr>
          <w:sz w:val="24"/>
        </w:rPr>
        <w:t xml:space="preserve">Annexe 4 : Délai </w:t>
      </w:r>
      <w:r w:rsidR="00A54F47">
        <w:rPr>
          <w:sz w:val="24"/>
        </w:rPr>
        <w:t>maximal</w:t>
      </w:r>
      <w:r w:rsidRPr="000A1373">
        <w:rPr>
          <w:sz w:val="24"/>
        </w:rPr>
        <w:t xml:space="preserve"> de versement de la rétrocession et pénalités de retard ;</w:t>
      </w:r>
    </w:p>
    <w:p w14:paraId="7554A8A6" w14:textId="77777777" w:rsidR="000A1373" w:rsidRPr="000A1373" w:rsidRDefault="000A1373" w:rsidP="000A1373">
      <w:pPr>
        <w:pStyle w:val="Paragraphedeliste"/>
        <w:numPr>
          <w:ilvl w:val="0"/>
          <w:numId w:val="13"/>
        </w:numPr>
        <w:jc w:val="both"/>
        <w:rPr>
          <w:sz w:val="24"/>
        </w:rPr>
      </w:pPr>
      <w:r w:rsidRPr="000A1373">
        <w:rPr>
          <w:sz w:val="24"/>
        </w:rPr>
        <w:t>Annexe 5 : Mémoire technique du candidat ;</w:t>
      </w:r>
    </w:p>
    <w:p w14:paraId="4BD6EA74" w14:textId="77777777" w:rsidR="009572F5" w:rsidRPr="00D747DB" w:rsidRDefault="000A1373" w:rsidP="00D747DB">
      <w:pPr>
        <w:pStyle w:val="Paragraphedeliste"/>
        <w:numPr>
          <w:ilvl w:val="0"/>
          <w:numId w:val="13"/>
        </w:numPr>
        <w:jc w:val="both"/>
        <w:rPr>
          <w:sz w:val="24"/>
        </w:rPr>
      </w:pPr>
      <w:r w:rsidRPr="000A1373">
        <w:rPr>
          <w:sz w:val="24"/>
        </w:rPr>
        <w:t xml:space="preserve">Annexe 6 : </w:t>
      </w:r>
      <w:r w:rsidR="00D747DB">
        <w:rPr>
          <w:sz w:val="24"/>
        </w:rPr>
        <w:t>D</w:t>
      </w:r>
      <w:r w:rsidRPr="000A1373">
        <w:rPr>
          <w:sz w:val="24"/>
        </w:rPr>
        <w:t>ébouclage de l’opération</w:t>
      </w:r>
      <w:r w:rsidR="00D747DB">
        <w:rPr>
          <w:sz w:val="24"/>
        </w:rPr>
        <w:t xml:space="preserve"> et pénalités de retard</w:t>
      </w:r>
      <w:r w:rsidRPr="000A1373">
        <w:rPr>
          <w:sz w:val="24"/>
        </w:rPr>
        <w:t>.</w:t>
      </w:r>
      <w:r w:rsidR="009572F5" w:rsidRPr="000A1373">
        <w:rPr>
          <w:sz w:val="24"/>
        </w:rPr>
        <w:t xml:space="preserve"> </w:t>
      </w:r>
    </w:p>
    <w:p w14:paraId="0EED519D" w14:textId="77777777" w:rsidR="00F803F5" w:rsidRDefault="00F803F5" w:rsidP="00F803F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4160B5F9" w14:textId="77777777" w:rsidR="00F803F5" w:rsidRDefault="00F803F5" w:rsidP="00F803F5">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6" w:name="_Toc145312163"/>
      <w:r w:rsidRPr="00AB3648">
        <w:rPr>
          <w:bCs w:val="0"/>
          <w:color w:val="17365D" w:themeColor="text2" w:themeShade="BF"/>
          <w:spacing w:val="5"/>
          <w:kern w:val="28"/>
          <w:sz w:val="28"/>
          <w:szCs w:val="52"/>
        </w:rPr>
        <w:t xml:space="preserve">Article </w:t>
      </w:r>
      <w:r w:rsidR="00810C9D">
        <w:rPr>
          <w:bCs w:val="0"/>
          <w:color w:val="17365D" w:themeColor="text2" w:themeShade="BF"/>
          <w:spacing w:val="5"/>
          <w:kern w:val="28"/>
          <w:sz w:val="28"/>
          <w:szCs w:val="52"/>
        </w:rPr>
        <w:t>3</w:t>
      </w:r>
      <w:r w:rsidRPr="00AB3648">
        <w:rPr>
          <w:bCs w:val="0"/>
          <w:color w:val="17365D" w:themeColor="text2" w:themeShade="BF"/>
          <w:spacing w:val="5"/>
          <w:kern w:val="28"/>
          <w:sz w:val="28"/>
          <w:szCs w:val="52"/>
        </w:rPr>
        <w:t xml:space="preserve"> – </w:t>
      </w:r>
      <w:r>
        <w:rPr>
          <w:bCs w:val="0"/>
          <w:color w:val="17365D" w:themeColor="text2" w:themeShade="BF"/>
          <w:spacing w:val="5"/>
          <w:kern w:val="28"/>
          <w:sz w:val="28"/>
          <w:szCs w:val="52"/>
        </w:rPr>
        <w:t>Pièces contractuelles de chaque marché subséquent</w:t>
      </w:r>
      <w:bookmarkEnd w:id="6"/>
    </w:p>
    <w:p w14:paraId="3631E54D" w14:textId="77777777" w:rsidR="00810C9D" w:rsidRDefault="00D747DB" w:rsidP="00810C9D">
      <w:pPr>
        <w:jc w:val="both"/>
        <w:rPr>
          <w:sz w:val="24"/>
        </w:rPr>
      </w:pPr>
      <w:r>
        <w:rPr>
          <w:sz w:val="24"/>
        </w:rPr>
        <w:t xml:space="preserve">Le marché subséquent </w:t>
      </w:r>
      <w:r w:rsidRPr="00F803F5">
        <w:rPr>
          <w:sz w:val="24"/>
        </w:rPr>
        <w:t>valant acte</w:t>
      </w:r>
      <w:r>
        <w:rPr>
          <w:sz w:val="24"/>
        </w:rPr>
        <w:t xml:space="preserve"> d’engagement et ses annexes : </w:t>
      </w:r>
    </w:p>
    <w:p w14:paraId="33369EA1" w14:textId="24D39B5C" w:rsidR="00D747DB" w:rsidRPr="000A1373" w:rsidRDefault="00D747DB" w:rsidP="005B0C86">
      <w:pPr>
        <w:pStyle w:val="Paragraphedeliste"/>
        <w:numPr>
          <w:ilvl w:val="0"/>
          <w:numId w:val="13"/>
        </w:numPr>
        <w:jc w:val="both"/>
        <w:rPr>
          <w:sz w:val="24"/>
        </w:rPr>
      </w:pPr>
      <w:r w:rsidRPr="000A1373">
        <w:rPr>
          <w:sz w:val="24"/>
        </w:rPr>
        <w:t xml:space="preserve">Annexe </w:t>
      </w:r>
      <w:r>
        <w:rPr>
          <w:sz w:val="24"/>
        </w:rPr>
        <w:t>1</w:t>
      </w:r>
      <w:r w:rsidRPr="000A1373">
        <w:rPr>
          <w:sz w:val="24"/>
        </w:rPr>
        <w:t xml:space="preserve"> : </w:t>
      </w:r>
      <w:r w:rsidR="005B0C86" w:rsidRPr="005B0C86">
        <w:rPr>
          <w:sz w:val="24"/>
        </w:rPr>
        <w:t>Lettre de consultation</w:t>
      </w:r>
      <w:r w:rsidRPr="000A1373">
        <w:rPr>
          <w:sz w:val="24"/>
        </w:rPr>
        <w:t xml:space="preserve"> ;</w:t>
      </w:r>
    </w:p>
    <w:p w14:paraId="5170504B" w14:textId="54C9D9BD" w:rsidR="003603F3" w:rsidRDefault="005B0C86" w:rsidP="005B0C86">
      <w:pPr>
        <w:pStyle w:val="Paragraphedeliste"/>
        <w:numPr>
          <w:ilvl w:val="0"/>
          <w:numId w:val="13"/>
        </w:numPr>
        <w:jc w:val="both"/>
        <w:rPr>
          <w:sz w:val="24"/>
        </w:rPr>
      </w:pPr>
      <w:r>
        <w:rPr>
          <w:sz w:val="24"/>
        </w:rPr>
        <w:t xml:space="preserve">Annexe 2 : </w:t>
      </w:r>
      <w:r w:rsidRPr="005B0C86">
        <w:rPr>
          <w:sz w:val="24"/>
        </w:rPr>
        <w:t>Schéma, taux de rétrocession et taux de rémunération proposés pour l’opération</w:t>
      </w:r>
      <w:r w:rsidR="003603F3">
        <w:rPr>
          <w:sz w:val="24"/>
        </w:rPr>
        <w:t> ;</w:t>
      </w:r>
    </w:p>
    <w:p w14:paraId="5CC523DD" w14:textId="01E8375A" w:rsidR="00983CAA" w:rsidRDefault="00101236" w:rsidP="005B0C86">
      <w:pPr>
        <w:pStyle w:val="Paragraphedeliste"/>
        <w:numPr>
          <w:ilvl w:val="0"/>
          <w:numId w:val="13"/>
        </w:numPr>
        <w:jc w:val="both"/>
        <w:rPr>
          <w:sz w:val="24"/>
        </w:rPr>
      </w:pPr>
      <w:r w:rsidRPr="000A1373">
        <w:rPr>
          <w:sz w:val="24"/>
        </w:rPr>
        <w:t xml:space="preserve">Annexe </w:t>
      </w:r>
      <w:r w:rsidR="003603F3">
        <w:rPr>
          <w:sz w:val="24"/>
        </w:rPr>
        <w:t>3</w:t>
      </w:r>
      <w:r w:rsidRPr="000A1373">
        <w:rPr>
          <w:sz w:val="24"/>
        </w:rPr>
        <w:t xml:space="preserve"> : </w:t>
      </w:r>
      <w:r w:rsidR="005B0C86" w:rsidRPr="005B0C86">
        <w:rPr>
          <w:sz w:val="24"/>
        </w:rPr>
        <w:t xml:space="preserve">Délais </w:t>
      </w:r>
      <w:r w:rsidR="00AB2E62">
        <w:rPr>
          <w:sz w:val="24"/>
        </w:rPr>
        <w:t>d’engagement et d’instruction de la demande</w:t>
      </w:r>
      <w:r w:rsidR="00C76F14">
        <w:rPr>
          <w:sz w:val="24"/>
        </w:rPr>
        <w:t xml:space="preserve"> </w:t>
      </w:r>
      <w:proofErr w:type="gramStart"/>
      <w:r w:rsidR="00C76F14">
        <w:rPr>
          <w:sz w:val="24"/>
        </w:rPr>
        <w:t>d’agrément</w:t>
      </w:r>
      <w:r w:rsidR="00AB2E62">
        <w:rPr>
          <w:sz w:val="24"/>
        </w:rPr>
        <w:t xml:space="preserve"> </w:t>
      </w:r>
      <w:r w:rsidR="005B0C86" w:rsidRPr="005B0C86">
        <w:rPr>
          <w:sz w:val="24"/>
        </w:rPr>
        <w:t xml:space="preserve"> pour</w:t>
      </w:r>
      <w:proofErr w:type="gramEnd"/>
      <w:r w:rsidR="005B0C86" w:rsidRPr="005B0C86">
        <w:rPr>
          <w:sz w:val="24"/>
        </w:rPr>
        <w:t xml:space="preserve"> l’opération</w:t>
      </w:r>
      <w:r w:rsidR="005B0C86">
        <w:rPr>
          <w:sz w:val="24"/>
        </w:rPr>
        <w:t xml:space="preserve"> </w:t>
      </w:r>
      <w:r w:rsidRPr="000A1373">
        <w:rPr>
          <w:sz w:val="24"/>
        </w:rPr>
        <w:t>;</w:t>
      </w:r>
    </w:p>
    <w:p w14:paraId="11FDAE3A" w14:textId="77777777" w:rsidR="003603F3" w:rsidRPr="00101236" w:rsidRDefault="003603F3" w:rsidP="00101236">
      <w:pPr>
        <w:pStyle w:val="Paragraphedeliste"/>
        <w:numPr>
          <w:ilvl w:val="0"/>
          <w:numId w:val="13"/>
        </w:numPr>
        <w:jc w:val="both"/>
        <w:rPr>
          <w:sz w:val="24"/>
        </w:rPr>
      </w:pPr>
      <w:r>
        <w:rPr>
          <w:sz w:val="24"/>
        </w:rPr>
        <w:t xml:space="preserve">Annexe 4 : Proposition d’optimisation du montage ou de la documentation juridique. </w:t>
      </w:r>
    </w:p>
    <w:p w14:paraId="4C11B1D9" w14:textId="77777777" w:rsidR="00810C9D" w:rsidRPr="00810C9D" w:rsidRDefault="00810C9D" w:rsidP="00810C9D">
      <w:pPr>
        <w:jc w:val="both"/>
        <w:rPr>
          <w:sz w:val="24"/>
        </w:rPr>
      </w:pPr>
      <w:r w:rsidRPr="00810C9D">
        <w:rPr>
          <w:sz w:val="24"/>
        </w:rPr>
        <w:t>Outre</w:t>
      </w:r>
      <w:r>
        <w:rPr>
          <w:sz w:val="24"/>
        </w:rPr>
        <w:t xml:space="preserve"> </w:t>
      </w:r>
      <w:r w:rsidRPr="00810C9D">
        <w:rPr>
          <w:sz w:val="24"/>
        </w:rPr>
        <w:t>ces</w:t>
      </w:r>
      <w:r>
        <w:rPr>
          <w:sz w:val="24"/>
        </w:rPr>
        <w:t xml:space="preserve"> </w:t>
      </w:r>
      <w:r w:rsidRPr="00810C9D">
        <w:rPr>
          <w:sz w:val="24"/>
        </w:rPr>
        <w:t>pièces,</w:t>
      </w:r>
      <w:r>
        <w:rPr>
          <w:sz w:val="24"/>
        </w:rPr>
        <w:t xml:space="preserve"> </w:t>
      </w:r>
      <w:r w:rsidRPr="00810C9D">
        <w:rPr>
          <w:sz w:val="24"/>
        </w:rPr>
        <w:t>chaque</w:t>
      </w:r>
      <w:r>
        <w:rPr>
          <w:sz w:val="24"/>
        </w:rPr>
        <w:t xml:space="preserve"> </w:t>
      </w:r>
      <w:r w:rsidRPr="00810C9D">
        <w:rPr>
          <w:sz w:val="24"/>
        </w:rPr>
        <w:t>marché</w:t>
      </w:r>
      <w:r>
        <w:rPr>
          <w:sz w:val="24"/>
        </w:rPr>
        <w:t xml:space="preserve"> </w:t>
      </w:r>
      <w:r w:rsidRPr="00810C9D">
        <w:rPr>
          <w:sz w:val="24"/>
        </w:rPr>
        <w:t>subséquent</w:t>
      </w:r>
      <w:r>
        <w:rPr>
          <w:sz w:val="24"/>
        </w:rPr>
        <w:t xml:space="preserve"> </w:t>
      </w:r>
      <w:r w:rsidRPr="00810C9D">
        <w:rPr>
          <w:sz w:val="24"/>
        </w:rPr>
        <w:t>peut</w:t>
      </w:r>
      <w:r>
        <w:rPr>
          <w:sz w:val="24"/>
        </w:rPr>
        <w:t xml:space="preserve"> </w:t>
      </w:r>
      <w:r w:rsidRPr="00810C9D">
        <w:rPr>
          <w:sz w:val="24"/>
        </w:rPr>
        <w:t>prévoir</w:t>
      </w:r>
      <w:r>
        <w:rPr>
          <w:sz w:val="24"/>
        </w:rPr>
        <w:t xml:space="preserve"> </w:t>
      </w:r>
      <w:r w:rsidRPr="00810C9D">
        <w:rPr>
          <w:sz w:val="24"/>
        </w:rPr>
        <w:t>des</w:t>
      </w:r>
      <w:r>
        <w:rPr>
          <w:sz w:val="24"/>
        </w:rPr>
        <w:t xml:space="preserve"> </w:t>
      </w:r>
      <w:r w:rsidRPr="00810C9D">
        <w:rPr>
          <w:sz w:val="24"/>
        </w:rPr>
        <w:t>pièces</w:t>
      </w:r>
      <w:r>
        <w:rPr>
          <w:sz w:val="24"/>
        </w:rPr>
        <w:t xml:space="preserve"> </w:t>
      </w:r>
      <w:r w:rsidRPr="00810C9D">
        <w:rPr>
          <w:sz w:val="24"/>
        </w:rPr>
        <w:t xml:space="preserve">particulières propres. </w:t>
      </w:r>
    </w:p>
    <w:p w14:paraId="5DE0B64F" w14:textId="77777777" w:rsidR="005814E0" w:rsidRDefault="00810C9D" w:rsidP="00810C9D">
      <w:pPr>
        <w:jc w:val="both"/>
        <w:rPr>
          <w:sz w:val="24"/>
        </w:rPr>
      </w:pPr>
      <w:r w:rsidRPr="00810C9D">
        <w:rPr>
          <w:sz w:val="24"/>
        </w:rPr>
        <w:t>En particulier,</w:t>
      </w:r>
      <w:r>
        <w:rPr>
          <w:sz w:val="24"/>
        </w:rPr>
        <w:t xml:space="preserve"> </w:t>
      </w:r>
      <w:r w:rsidRPr="00810C9D">
        <w:rPr>
          <w:sz w:val="24"/>
        </w:rPr>
        <w:t xml:space="preserve">et sans préjudice de la prise en compte le cas échéant de l’avancement de l’opération de défiscalisation concernée, </w:t>
      </w:r>
      <w:r w:rsidR="001A032E">
        <w:rPr>
          <w:sz w:val="24"/>
        </w:rPr>
        <w:t>le FCH</w:t>
      </w:r>
      <w:r w:rsidRPr="00810C9D">
        <w:rPr>
          <w:sz w:val="24"/>
        </w:rPr>
        <w:t xml:space="preserve"> se réserve le droit de négocier avec l’attributaire</w:t>
      </w:r>
      <w:r>
        <w:rPr>
          <w:sz w:val="24"/>
        </w:rPr>
        <w:t xml:space="preserve"> </w:t>
      </w:r>
      <w:r w:rsidRPr="00810C9D">
        <w:rPr>
          <w:sz w:val="24"/>
        </w:rPr>
        <w:t>d’un</w:t>
      </w:r>
      <w:r>
        <w:rPr>
          <w:sz w:val="24"/>
        </w:rPr>
        <w:t xml:space="preserve"> </w:t>
      </w:r>
      <w:r w:rsidRPr="00810C9D">
        <w:rPr>
          <w:sz w:val="24"/>
        </w:rPr>
        <w:t>marché</w:t>
      </w:r>
      <w:r>
        <w:rPr>
          <w:sz w:val="24"/>
        </w:rPr>
        <w:t xml:space="preserve"> </w:t>
      </w:r>
      <w:r w:rsidRPr="00810C9D">
        <w:rPr>
          <w:sz w:val="24"/>
        </w:rPr>
        <w:t>subséquent</w:t>
      </w:r>
      <w:r>
        <w:rPr>
          <w:sz w:val="24"/>
        </w:rPr>
        <w:t xml:space="preserve"> </w:t>
      </w:r>
      <w:r w:rsidRPr="00810C9D">
        <w:rPr>
          <w:sz w:val="24"/>
        </w:rPr>
        <w:t>une</w:t>
      </w:r>
      <w:r>
        <w:rPr>
          <w:sz w:val="24"/>
        </w:rPr>
        <w:t xml:space="preserve"> </w:t>
      </w:r>
      <w:r w:rsidRPr="00810C9D">
        <w:rPr>
          <w:sz w:val="24"/>
        </w:rPr>
        <w:t>modification</w:t>
      </w:r>
      <w:r>
        <w:rPr>
          <w:sz w:val="24"/>
        </w:rPr>
        <w:t xml:space="preserve"> </w:t>
      </w:r>
      <w:r w:rsidRPr="00810C9D">
        <w:rPr>
          <w:sz w:val="24"/>
        </w:rPr>
        <w:t>de</w:t>
      </w:r>
      <w:r>
        <w:rPr>
          <w:sz w:val="24"/>
        </w:rPr>
        <w:t xml:space="preserve"> </w:t>
      </w:r>
      <w:r w:rsidRPr="00810C9D">
        <w:rPr>
          <w:sz w:val="24"/>
        </w:rPr>
        <w:t>la</w:t>
      </w:r>
      <w:r>
        <w:rPr>
          <w:sz w:val="24"/>
        </w:rPr>
        <w:t xml:space="preserve"> </w:t>
      </w:r>
      <w:r w:rsidRPr="00810C9D">
        <w:rPr>
          <w:sz w:val="24"/>
        </w:rPr>
        <w:t>rédaction</w:t>
      </w:r>
      <w:r>
        <w:rPr>
          <w:sz w:val="24"/>
        </w:rPr>
        <w:t xml:space="preserve"> </w:t>
      </w:r>
      <w:r w:rsidRPr="00810C9D">
        <w:rPr>
          <w:sz w:val="24"/>
        </w:rPr>
        <w:t>de</w:t>
      </w:r>
      <w:r>
        <w:rPr>
          <w:sz w:val="24"/>
        </w:rPr>
        <w:t xml:space="preserve"> </w:t>
      </w:r>
      <w:r w:rsidRPr="00810C9D">
        <w:rPr>
          <w:sz w:val="24"/>
        </w:rPr>
        <w:t>la documentation</w:t>
      </w:r>
      <w:r>
        <w:rPr>
          <w:sz w:val="24"/>
        </w:rPr>
        <w:t xml:space="preserve"> </w:t>
      </w:r>
      <w:r w:rsidRPr="00810C9D">
        <w:rPr>
          <w:sz w:val="24"/>
        </w:rPr>
        <w:t>juridique</w:t>
      </w:r>
      <w:r>
        <w:rPr>
          <w:sz w:val="24"/>
        </w:rPr>
        <w:t xml:space="preserve"> </w:t>
      </w:r>
      <w:r w:rsidRPr="00810C9D">
        <w:rPr>
          <w:sz w:val="24"/>
        </w:rPr>
        <w:t>annexée</w:t>
      </w:r>
      <w:r>
        <w:rPr>
          <w:sz w:val="24"/>
        </w:rPr>
        <w:t xml:space="preserve"> </w:t>
      </w:r>
      <w:r w:rsidRPr="00810C9D">
        <w:rPr>
          <w:sz w:val="24"/>
        </w:rPr>
        <w:t>à</w:t>
      </w:r>
      <w:r>
        <w:rPr>
          <w:sz w:val="24"/>
        </w:rPr>
        <w:t xml:space="preserve"> </w:t>
      </w:r>
      <w:r w:rsidRPr="00810C9D">
        <w:rPr>
          <w:sz w:val="24"/>
        </w:rPr>
        <w:t>l’accord-cadre,</w:t>
      </w:r>
      <w:r w:rsidR="001A032E">
        <w:rPr>
          <w:sz w:val="24"/>
        </w:rPr>
        <w:t xml:space="preserve"> </w:t>
      </w:r>
      <w:r w:rsidRPr="00810C9D">
        <w:rPr>
          <w:sz w:val="24"/>
        </w:rPr>
        <w:t>étant</w:t>
      </w:r>
      <w:r>
        <w:rPr>
          <w:sz w:val="24"/>
        </w:rPr>
        <w:t xml:space="preserve"> </w:t>
      </w:r>
      <w:r w:rsidRPr="00810C9D">
        <w:rPr>
          <w:sz w:val="24"/>
        </w:rPr>
        <w:t>précisé</w:t>
      </w:r>
      <w:r>
        <w:rPr>
          <w:sz w:val="24"/>
        </w:rPr>
        <w:t xml:space="preserve"> </w:t>
      </w:r>
      <w:r w:rsidRPr="00810C9D">
        <w:rPr>
          <w:sz w:val="24"/>
        </w:rPr>
        <w:t>que</w:t>
      </w:r>
      <w:r>
        <w:rPr>
          <w:sz w:val="24"/>
        </w:rPr>
        <w:t xml:space="preserve"> </w:t>
      </w:r>
      <w:r w:rsidRPr="00810C9D">
        <w:rPr>
          <w:sz w:val="24"/>
        </w:rPr>
        <w:t>la</w:t>
      </w:r>
      <w:r>
        <w:rPr>
          <w:sz w:val="24"/>
        </w:rPr>
        <w:t xml:space="preserve"> </w:t>
      </w:r>
      <w:r w:rsidRPr="00810C9D">
        <w:rPr>
          <w:sz w:val="24"/>
        </w:rPr>
        <w:t xml:space="preserve">nouvelle rédaction sera nécessairement plus favorable </w:t>
      </w:r>
      <w:r w:rsidR="001A032E">
        <w:rPr>
          <w:sz w:val="24"/>
        </w:rPr>
        <w:t>au FCH</w:t>
      </w:r>
      <w:r w:rsidRPr="00810C9D">
        <w:rPr>
          <w:sz w:val="24"/>
        </w:rPr>
        <w:t xml:space="preserve"> que celle proposée initialement par le Titulaire qui en tout état de cause constitue les ob</w:t>
      </w:r>
      <w:r>
        <w:rPr>
          <w:sz w:val="24"/>
        </w:rPr>
        <w:t xml:space="preserve">ligations minimales auxquelles </w:t>
      </w:r>
      <w:r w:rsidRPr="00810C9D">
        <w:rPr>
          <w:sz w:val="24"/>
        </w:rPr>
        <w:t>celui-ci reste tenu.</w:t>
      </w:r>
    </w:p>
    <w:p w14:paraId="10BEE4CC" w14:textId="77777777" w:rsidR="00250EC5" w:rsidRDefault="00250EC5" w:rsidP="00810C9D">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065C0F66" w14:textId="77777777" w:rsidR="008C6C9C" w:rsidRPr="00810C9D" w:rsidRDefault="008C6C9C" w:rsidP="008C6C9C">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7" w:name="_Toc145312164"/>
      <w:r>
        <w:rPr>
          <w:bCs w:val="0"/>
          <w:color w:val="17365D" w:themeColor="text2" w:themeShade="BF"/>
          <w:spacing w:val="5"/>
          <w:kern w:val="28"/>
          <w:sz w:val="28"/>
          <w:szCs w:val="52"/>
        </w:rPr>
        <w:t xml:space="preserve">Article </w:t>
      </w:r>
      <w:r w:rsidR="00BA6C8E">
        <w:rPr>
          <w:bCs w:val="0"/>
          <w:color w:val="17365D" w:themeColor="text2" w:themeShade="BF"/>
          <w:spacing w:val="5"/>
          <w:kern w:val="28"/>
          <w:sz w:val="28"/>
          <w:szCs w:val="52"/>
        </w:rPr>
        <w:t>4</w:t>
      </w:r>
      <w:r>
        <w:rPr>
          <w:bCs w:val="0"/>
          <w:color w:val="17365D" w:themeColor="text2" w:themeShade="BF"/>
          <w:spacing w:val="5"/>
          <w:kern w:val="28"/>
          <w:sz w:val="28"/>
          <w:szCs w:val="52"/>
        </w:rPr>
        <w:t xml:space="preserve"> – </w:t>
      </w:r>
      <w:r w:rsidR="001A032E">
        <w:rPr>
          <w:bCs w:val="0"/>
          <w:color w:val="17365D" w:themeColor="text2" w:themeShade="BF"/>
          <w:spacing w:val="5"/>
          <w:kern w:val="28"/>
          <w:sz w:val="28"/>
          <w:szCs w:val="52"/>
        </w:rPr>
        <w:t>Rétrocession</w:t>
      </w:r>
      <w:bookmarkEnd w:id="7"/>
    </w:p>
    <w:p w14:paraId="14C772C1" w14:textId="77777777" w:rsidR="001A032E" w:rsidRDefault="001A032E" w:rsidP="00DE14AD">
      <w:pPr>
        <w:pStyle w:val="Titre3"/>
        <w:numPr>
          <w:ilvl w:val="0"/>
          <w:numId w:val="4"/>
        </w:numPr>
      </w:pPr>
      <w:bookmarkStart w:id="8" w:name="_Toc145312165"/>
      <w:r>
        <w:t>Montant de la rétrocession</w:t>
      </w:r>
      <w:bookmarkEnd w:id="8"/>
    </w:p>
    <w:p w14:paraId="428A2084" w14:textId="77777777" w:rsidR="001A032E" w:rsidRPr="00810C9D" w:rsidRDefault="001A032E" w:rsidP="001A032E">
      <w:pPr>
        <w:jc w:val="both"/>
        <w:rPr>
          <w:sz w:val="24"/>
        </w:rPr>
      </w:pPr>
      <w:r w:rsidRPr="00810C9D">
        <w:rPr>
          <w:sz w:val="24"/>
        </w:rPr>
        <w:t xml:space="preserve">La </w:t>
      </w:r>
      <w:r>
        <w:rPr>
          <w:sz w:val="24"/>
        </w:rPr>
        <w:t xml:space="preserve">rétrocession versée au FCH par le </w:t>
      </w:r>
      <w:r w:rsidRPr="00810C9D">
        <w:rPr>
          <w:sz w:val="24"/>
        </w:rPr>
        <w:t xml:space="preserve">Titulaire est calculée comme suit : </w:t>
      </w:r>
    </w:p>
    <w:p w14:paraId="480E4FF4" w14:textId="77777777" w:rsidR="001A032E" w:rsidRPr="00062DA1" w:rsidRDefault="001A032E" w:rsidP="00062DA1">
      <w:pPr>
        <w:pBdr>
          <w:top w:val="single" w:sz="4" w:space="1" w:color="auto"/>
          <w:left w:val="single" w:sz="4" w:space="1" w:color="auto"/>
          <w:bottom w:val="single" w:sz="4" w:space="1" w:color="auto"/>
          <w:right w:val="single" w:sz="4" w:space="4" w:color="auto"/>
        </w:pBdr>
        <w:spacing w:after="0" w:line="240" w:lineRule="auto"/>
        <w:ind w:left="50"/>
        <w:jc w:val="center"/>
        <w:rPr>
          <w:b/>
          <w:sz w:val="24"/>
        </w:rPr>
      </w:pPr>
      <w:r w:rsidRPr="00062DA1">
        <w:rPr>
          <w:b/>
          <w:sz w:val="24"/>
        </w:rPr>
        <w:t>Base éligible x Taux de rétrocession applicable à l’opération</w:t>
      </w:r>
    </w:p>
    <w:p w14:paraId="681E21F9" w14:textId="77777777" w:rsidR="00062DA1" w:rsidRDefault="00062DA1" w:rsidP="001A032E">
      <w:pPr>
        <w:ind w:left="50"/>
        <w:jc w:val="both"/>
        <w:rPr>
          <w:sz w:val="24"/>
        </w:rPr>
      </w:pPr>
    </w:p>
    <w:p w14:paraId="670A4198" w14:textId="0D9A7CF1" w:rsidR="001A032E" w:rsidRPr="001A032E" w:rsidRDefault="001A032E" w:rsidP="00062DA1">
      <w:pPr>
        <w:jc w:val="both"/>
        <w:rPr>
          <w:sz w:val="24"/>
        </w:rPr>
      </w:pPr>
      <w:r w:rsidRPr="001A032E">
        <w:rPr>
          <w:sz w:val="24"/>
        </w:rPr>
        <w:t xml:space="preserve">La base éligible s’entend comme </w:t>
      </w:r>
      <w:r w:rsidR="00E229F9">
        <w:rPr>
          <w:sz w:val="24"/>
        </w:rPr>
        <w:t xml:space="preserve">étant </w:t>
      </w:r>
      <w:r w:rsidRPr="001A032E">
        <w:rPr>
          <w:sz w:val="24"/>
        </w:rPr>
        <w:t xml:space="preserve">celle définie aux articles 199 </w:t>
      </w:r>
      <w:proofErr w:type="spellStart"/>
      <w:r w:rsidRPr="001A032E">
        <w:rPr>
          <w:sz w:val="24"/>
        </w:rPr>
        <w:t>undecies</w:t>
      </w:r>
      <w:proofErr w:type="spellEnd"/>
      <w:r w:rsidRPr="001A032E">
        <w:rPr>
          <w:sz w:val="24"/>
        </w:rPr>
        <w:t xml:space="preserve"> C et </w:t>
      </w:r>
      <w:r w:rsidR="00545718">
        <w:rPr>
          <w:sz w:val="24"/>
        </w:rPr>
        <w:t>244 quarter Y</w:t>
      </w:r>
      <w:r w:rsidRPr="001A032E">
        <w:rPr>
          <w:sz w:val="24"/>
        </w:rPr>
        <w:t xml:space="preserve"> du Code général des impôts. </w:t>
      </w:r>
    </w:p>
    <w:p w14:paraId="0F8352E4" w14:textId="70FD8BDE" w:rsidR="00101236" w:rsidRDefault="001A032E" w:rsidP="003603F3">
      <w:pPr>
        <w:jc w:val="both"/>
        <w:rPr>
          <w:sz w:val="24"/>
        </w:rPr>
      </w:pPr>
      <w:r w:rsidRPr="001A032E">
        <w:rPr>
          <w:sz w:val="24"/>
        </w:rPr>
        <w:t>Les taux minimum</w:t>
      </w:r>
      <w:r w:rsidR="005F4D71">
        <w:rPr>
          <w:sz w:val="24"/>
        </w:rPr>
        <w:t>s</w:t>
      </w:r>
      <w:r w:rsidRPr="001A032E">
        <w:rPr>
          <w:sz w:val="24"/>
        </w:rPr>
        <w:t xml:space="preserve"> de rétrocession à verser </w:t>
      </w:r>
      <w:r>
        <w:rPr>
          <w:sz w:val="24"/>
        </w:rPr>
        <w:t>au FCH</w:t>
      </w:r>
      <w:r w:rsidRPr="001A032E">
        <w:rPr>
          <w:sz w:val="24"/>
        </w:rPr>
        <w:t xml:space="preserve"> par le Titulaire sont fixés en annexe 2 au présent accord-cadre.</w:t>
      </w:r>
      <w:r>
        <w:rPr>
          <w:sz w:val="24"/>
        </w:rPr>
        <w:t xml:space="preserve"> </w:t>
      </w:r>
    </w:p>
    <w:p w14:paraId="49EBB64A" w14:textId="2D5F81F9" w:rsidR="005F4D71" w:rsidRPr="0067134D" w:rsidRDefault="00AA25B9" w:rsidP="003603F3">
      <w:pPr>
        <w:jc w:val="both"/>
        <w:rPr>
          <w:sz w:val="24"/>
        </w:rPr>
      </w:pPr>
      <w:r w:rsidRPr="0067134D">
        <w:rPr>
          <w:sz w:val="24"/>
        </w:rPr>
        <w:t>Par dérogation, le titulaire ne sera pas tenu de respecter le</w:t>
      </w:r>
      <w:r w:rsidR="001C7B65" w:rsidRPr="0067134D">
        <w:rPr>
          <w:sz w:val="24"/>
        </w:rPr>
        <w:t>s</w:t>
      </w:r>
      <w:r w:rsidRPr="0067134D">
        <w:rPr>
          <w:sz w:val="24"/>
        </w:rPr>
        <w:t xml:space="preserve"> taux minimum</w:t>
      </w:r>
      <w:r w:rsidR="001C7B65" w:rsidRPr="0067134D">
        <w:rPr>
          <w:sz w:val="24"/>
        </w:rPr>
        <w:t>s de rétrocession</w:t>
      </w:r>
      <w:r w:rsidR="00901DDD" w:rsidRPr="0067134D">
        <w:rPr>
          <w:sz w:val="24"/>
        </w:rPr>
        <w:t xml:space="preserve"> </w:t>
      </w:r>
      <w:r w:rsidRPr="0067134D">
        <w:rPr>
          <w:sz w:val="24"/>
        </w:rPr>
        <w:t>lorsque la base éligible de l’opération ou d’un groupement d’opérations est inférieure à l</w:t>
      </w:r>
      <w:r w:rsidR="005F4D71" w:rsidRPr="0067134D">
        <w:rPr>
          <w:sz w:val="24"/>
        </w:rPr>
        <w:t>a base éligibl</w:t>
      </w:r>
      <w:r w:rsidRPr="0067134D">
        <w:rPr>
          <w:sz w:val="24"/>
        </w:rPr>
        <w:t>e plancher</w:t>
      </w:r>
      <w:r w:rsidR="00901DDD" w:rsidRPr="0067134D">
        <w:rPr>
          <w:sz w:val="24"/>
        </w:rPr>
        <w:t xml:space="preserve"> fixée en annexe 2 au présent accord-cadre</w:t>
      </w:r>
      <w:r w:rsidRPr="0067134D">
        <w:rPr>
          <w:sz w:val="24"/>
        </w:rPr>
        <w:t>.</w:t>
      </w:r>
    </w:p>
    <w:p w14:paraId="4B2902A2" w14:textId="237A5E9E" w:rsidR="00AA25B9" w:rsidRPr="003603F3" w:rsidRDefault="00AA25B9" w:rsidP="003603F3">
      <w:pPr>
        <w:jc w:val="both"/>
        <w:rPr>
          <w:sz w:val="24"/>
        </w:rPr>
      </w:pPr>
      <w:r w:rsidRPr="0067134D">
        <w:rPr>
          <w:sz w:val="24"/>
        </w:rPr>
        <w:t>La rét</w:t>
      </w:r>
      <w:r w:rsidR="00901DDD" w:rsidRPr="0067134D">
        <w:rPr>
          <w:sz w:val="24"/>
        </w:rPr>
        <w:t>rocession versée au FCH par le t</w:t>
      </w:r>
      <w:r w:rsidRPr="0067134D">
        <w:rPr>
          <w:sz w:val="24"/>
        </w:rPr>
        <w:t xml:space="preserve">itulaire sera </w:t>
      </w:r>
      <w:r w:rsidR="001C7B65" w:rsidRPr="0067134D">
        <w:rPr>
          <w:sz w:val="24"/>
        </w:rPr>
        <w:t xml:space="preserve">dès lors </w:t>
      </w:r>
      <w:r w:rsidRPr="0067134D">
        <w:rPr>
          <w:sz w:val="24"/>
        </w:rPr>
        <w:t xml:space="preserve">calculée </w:t>
      </w:r>
      <w:r w:rsidR="00901DDD" w:rsidRPr="0067134D">
        <w:rPr>
          <w:sz w:val="24"/>
        </w:rPr>
        <w:t>à partir</w:t>
      </w:r>
      <w:r w:rsidRPr="0067134D">
        <w:rPr>
          <w:sz w:val="24"/>
        </w:rPr>
        <w:t xml:space="preserve"> </w:t>
      </w:r>
      <w:r w:rsidR="00901DDD" w:rsidRPr="0067134D">
        <w:rPr>
          <w:sz w:val="24"/>
        </w:rPr>
        <w:t>du</w:t>
      </w:r>
      <w:r w:rsidRPr="0067134D">
        <w:rPr>
          <w:sz w:val="24"/>
        </w:rPr>
        <w:t xml:space="preserve"> taux </w:t>
      </w:r>
      <w:r w:rsidR="00CD6F4B" w:rsidRPr="0067134D">
        <w:rPr>
          <w:sz w:val="24"/>
        </w:rPr>
        <w:t xml:space="preserve">de rétrocession </w:t>
      </w:r>
      <w:r w:rsidR="00901DDD" w:rsidRPr="0067134D">
        <w:rPr>
          <w:sz w:val="24"/>
        </w:rPr>
        <w:t xml:space="preserve">proposé par le titulaire </w:t>
      </w:r>
      <w:r w:rsidR="001C7B65" w:rsidRPr="0067134D">
        <w:rPr>
          <w:sz w:val="24"/>
        </w:rPr>
        <w:t xml:space="preserve">et retenu </w:t>
      </w:r>
      <w:r w:rsidR="00901DDD" w:rsidRPr="0067134D">
        <w:rPr>
          <w:sz w:val="24"/>
        </w:rPr>
        <w:t>à l’appel d’offres du marché subséquent</w:t>
      </w:r>
      <w:r w:rsidR="001C7B65" w:rsidRPr="0067134D">
        <w:rPr>
          <w:sz w:val="24"/>
        </w:rPr>
        <w:t xml:space="preserve"> de l’opération ou d’un groupement d’opérations</w:t>
      </w:r>
      <w:r w:rsidRPr="0067134D">
        <w:rPr>
          <w:sz w:val="24"/>
        </w:rPr>
        <w:t>.</w:t>
      </w:r>
    </w:p>
    <w:p w14:paraId="3C0FB32B" w14:textId="31096EAB" w:rsidR="001A032E" w:rsidRDefault="001A032E" w:rsidP="001A032E">
      <w:pPr>
        <w:pStyle w:val="Titre3"/>
      </w:pPr>
      <w:bookmarkStart w:id="9" w:name="_Toc145312166"/>
      <w:r>
        <w:t>Modalités de versement de la rétrocession</w:t>
      </w:r>
      <w:bookmarkEnd w:id="9"/>
    </w:p>
    <w:p w14:paraId="41595741" w14:textId="0D31A142" w:rsidR="001A032E" w:rsidRPr="001A032E" w:rsidRDefault="001A032E" w:rsidP="001A032E">
      <w:pPr>
        <w:jc w:val="both"/>
        <w:rPr>
          <w:sz w:val="24"/>
        </w:rPr>
      </w:pPr>
      <w:r w:rsidRPr="001A032E">
        <w:rPr>
          <w:sz w:val="24"/>
        </w:rPr>
        <w:t xml:space="preserve">La </w:t>
      </w:r>
      <w:r w:rsidRPr="00EE521D">
        <w:rPr>
          <w:sz w:val="24"/>
        </w:rPr>
        <w:t xml:space="preserve">rétrocession sera versée conformément aux dispositions de l’article 199 </w:t>
      </w:r>
      <w:proofErr w:type="spellStart"/>
      <w:r w:rsidRPr="00EE521D">
        <w:rPr>
          <w:sz w:val="24"/>
        </w:rPr>
        <w:t>undecies</w:t>
      </w:r>
      <w:proofErr w:type="spellEnd"/>
      <w:r w:rsidRPr="00EE521D">
        <w:rPr>
          <w:sz w:val="24"/>
        </w:rPr>
        <w:t xml:space="preserve"> C I 8</w:t>
      </w:r>
      <w:r w:rsidRPr="00EE521D">
        <w:rPr>
          <w:sz w:val="24"/>
          <w:vertAlign w:val="superscript"/>
        </w:rPr>
        <w:t>ème</w:t>
      </w:r>
      <w:r w:rsidRPr="00EE521D">
        <w:rPr>
          <w:sz w:val="24"/>
        </w:rPr>
        <w:t xml:space="preserve"> alinéa du Code général des impôts pour ce qui concerne les opérations à l’IR et conformément aux dispositions de l’article </w:t>
      </w:r>
      <w:r w:rsidR="00545718" w:rsidRPr="00EE521D">
        <w:rPr>
          <w:sz w:val="24"/>
        </w:rPr>
        <w:t>244 quarter Y</w:t>
      </w:r>
      <w:r w:rsidR="00EE521D" w:rsidRPr="00EE521D">
        <w:rPr>
          <w:sz w:val="24"/>
        </w:rPr>
        <w:t xml:space="preserve"> I bis 5</w:t>
      </w:r>
      <w:r w:rsidRPr="00EE521D">
        <w:rPr>
          <w:sz w:val="24"/>
          <w:vertAlign w:val="superscript"/>
        </w:rPr>
        <w:t>ème</w:t>
      </w:r>
      <w:r w:rsidRPr="00EE521D">
        <w:rPr>
          <w:sz w:val="24"/>
        </w:rPr>
        <w:t xml:space="preserve"> du Code général des impôts pour les opérations à l’IS.</w:t>
      </w:r>
      <w:r w:rsidRPr="001A032E">
        <w:rPr>
          <w:sz w:val="24"/>
        </w:rPr>
        <w:t xml:space="preserve"> </w:t>
      </w:r>
    </w:p>
    <w:p w14:paraId="1B754244" w14:textId="77777777" w:rsidR="00101236" w:rsidRDefault="001A032E" w:rsidP="00101236">
      <w:pPr>
        <w:jc w:val="both"/>
        <w:rPr>
          <w:sz w:val="24"/>
        </w:rPr>
      </w:pPr>
      <w:r w:rsidRPr="00101236">
        <w:rPr>
          <w:sz w:val="24"/>
        </w:rPr>
        <w:t>L’attribut</w:t>
      </w:r>
      <w:r w:rsidR="00101236" w:rsidRPr="00101236">
        <w:rPr>
          <w:sz w:val="24"/>
        </w:rPr>
        <w:t>aire de l’accord-cadre s’engage</w:t>
      </w:r>
      <w:r w:rsidRPr="00101236">
        <w:rPr>
          <w:sz w:val="24"/>
        </w:rPr>
        <w:t xml:space="preserve"> à verser la rét</w:t>
      </w:r>
      <w:r w:rsidR="00101236" w:rsidRPr="00101236">
        <w:rPr>
          <w:sz w:val="24"/>
        </w:rPr>
        <w:t xml:space="preserve">rocession </w:t>
      </w:r>
      <w:r w:rsidR="00101236">
        <w:rPr>
          <w:sz w:val="24"/>
        </w:rPr>
        <w:t>dans les conditions</w:t>
      </w:r>
      <w:r w:rsidRPr="00101236">
        <w:rPr>
          <w:sz w:val="24"/>
        </w:rPr>
        <w:t xml:space="preserve"> fixé</w:t>
      </w:r>
      <w:r w:rsidR="00101236">
        <w:rPr>
          <w:sz w:val="24"/>
        </w:rPr>
        <w:t>es</w:t>
      </w:r>
      <w:r w:rsidRPr="00101236">
        <w:rPr>
          <w:sz w:val="24"/>
        </w:rPr>
        <w:t xml:space="preserve"> </w:t>
      </w:r>
      <w:r w:rsidR="00101236" w:rsidRPr="001A032E">
        <w:rPr>
          <w:sz w:val="24"/>
        </w:rPr>
        <w:t xml:space="preserve">en annexe </w:t>
      </w:r>
      <w:r w:rsidR="00101236">
        <w:rPr>
          <w:sz w:val="24"/>
        </w:rPr>
        <w:t>4</w:t>
      </w:r>
      <w:r w:rsidR="00101236" w:rsidRPr="001A032E">
        <w:rPr>
          <w:sz w:val="24"/>
        </w:rPr>
        <w:t xml:space="preserve"> au présent accord-cadre.</w:t>
      </w:r>
      <w:r w:rsidR="00101236">
        <w:rPr>
          <w:sz w:val="24"/>
        </w:rPr>
        <w:t xml:space="preserve"> </w:t>
      </w:r>
    </w:p>
    <w:p w14:paraId="7C7BE285" w14:textId="77777777" w:rsidR="001A032E" w:rsidRDefault="001A032E" w:rsidP="001A032E">
      <w:pPr>
        <w:jc w:val="both"/>
        <w:rPr>
          <w:sz w:val="24"/>
        </w:rPr>
      </w:pPr>
      <w:r>
        <w:rPr>
          <w:sz w:val="24"/>
        </w:rPr>
        <w:t xml:space="preserve"> </w:t>
      </w:r>
    </w:p>
    <w:p w14:paraId="37AE14E2" w14:textId="0B99AEED" w:rsidR="00BA6C8E" w:rsidRPr="00810C9D" w:rsidRDefault="00BA6C8E" w:rsidP="00BA6C8E">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10" w:name="_Toc145312167"/>
      <w:r>
        <w:rPr>
          <w:bCs w:val="0"/>
          <w:color w:val="17365D" w:themeColor="text2" w:themeShade="BF"/>
          <w:spacing w:val="5"/>
          <w:kern w:val="28"/>
          <w:sz w:val="28"/>
          <w:szCs w:val="52"/>
        </w:rPr>
        <w:t xml:space="preserve">Article 5 – Rémunération </w:t>
      </w:r>
      <w:r w:rsidR="00101236">
        <w:rPr>
          <w:bCs w:val="0"/>
          <w:color w:val="17365D" w:themeColor="text2" w:themeShade="BF"/>
          <w:spacing w:val="5"/>
          <w:kern w:val="28"/>
          <w:sz w:val="28"/>
          <w:szCs w:val="52"/>
        </w:rPr>
        <w:t xml:space="preserve">par les investisseurs </w:t>
      </w:r>
      <w:r w:rsidR="00CD6F4B">
        <w:rPr>
          <w:bCs w:val="0"/>
          <w:color w:val="17365D" w:themeColor="text2" w:themeShade="BF"/>
          <w:spacing w:val="5"/>
          <w:kern w:val="28"/>
          <w:sz w:val="28"/>
          <w:szCs w:val="52"/>
        </w:rPr>
        <w:t>du</w:t>
      </w:r>
      <w:r w:rsidR="00101236">
        <w:rPr>
          <w:bCs w:val="0"/>
          <w:color w:val="17365D" w:themeColor="text2" w:themeShade="BF"/>
          <w:spacing w:val="5"/>
          <w:kern w:val="28"/>
          <w:sz w:val="28"/>
          <w:szCs w:val="52"/>
        </w:rPr>
        <w:t xml:space="preserve"> titulaire</w:t>
      </w:r>
      <w:bookmarkEnd w:id="10"/>
      <w:r>
        <w:rPr>
          <w:bCs w:val="0"/>
          <w:color w:val="17365D" w:themeColor="text2" w:themeShade="BF"/>
          <w:spacing w:val="5"/>
          <w:kern w:val="28"/>
          <w:sz w:val="28"/>
          <w:szCs w:val="52"/>
        </w:rPr>
        <w:t xml:space="preserve"> </w:t>
      </w:r>
    </w:p>
    <w:p w14:paraId="2C63F2A7" w14:textId="77777777" w:rsidR="00BA6C8E" w:rsidRPr="00C869B8" w:rsidRDefault="00BA6C8E" w:rsidP="00DE14AD">
      <w:pPr>
        <w:pStyle w:val="Titre3"/>
        <w:numPr>
          <w:ilvl w:val="0"/>
          <w:numId w:val="3"/>
        </w:numPr>
      </w:pPr>
      <w:bookmarkStart w:id="11" w:name="_Toc145312168"/>
      <w:r>
        <w:t>Montant de la rémunération</w:t>
      </w:r>
      <w:bookmarkEnd w:id="11"/>
    </w:p>
    <w:p w14:paraId="1160AE43" w14:textId="77777777" w:rsidR="00BA6C8E" w:rsidRPr="00810C9D" w:rsidRDefault="00BA6C8E" w:rsidP="00BA6C8E">
      <w:pPr>
        <w:jc w:val="both"/>
        <w:rPr>
          <w:sz w:val="24"/>
        </w:rPr>
      </w:pPr>
      <w:r w:rsidRPr="00810C9D">
        <w:rPr>
          <w:sz w:val="24"/>
        </w:rPr>
        <w:t>La rémunér</w:t>
      </w:r>
      <w:r>
        <w:rPr>
          <w:sz w:val="24"/>
        </w:rPr>
        <w:t>ation globale et forfaitaire</w:t>
      </w:r>
      <w:r w:rsidRPr="00810C9D">
        <w:rPr>
          <w:sz w:val="24"/>
        </w:rPr>
        <w:t xml:space="preserve"> d</w:t>
      </w:r>
      <w:r w:rsidR="00101236">
        <w:rPr>
          <w:sz w:val="24"/>
        </w:rPr>
        <w:t>u titulaire</w:t>
      </w:r>
      <w:r w:rsidRPr="00810C9D">
        <w:rPr>
          <w:sz w:val="24"/>
        </w:rPr>
        <w:t xml:space="preserve"> est calculée comme suit : </w:t>
      </w:r>
    </w:p>
    <w:p w14:paraId="4509FFA7" w14:textId="77777777" w:rsidR="00BA6C8E" w:rsidRPr="00062DA1" w:rsidRDefault="00BA6C8E" w:rsidP="00BA6C8E">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062DA1">
        <w:rPr>
          <w:b/>
          <w:sz w:val="24"/>
        </w:rPr>
        <w:t>Base éligible x Taux de rémunération applicable à</w:t>
      </w:r>
      <w:r w:rsidR="00101236">
        <w:rPr>
          <w:b/>
          <w:sz w:val="24"/>
        </w:rPr>
        <w:t xml:space="preserve"> l’opération </w:t>
      </w:r>
      <w:r w:rsidR="00101236">
        <w:rPr>
          <w:b/>
          <w:sz w:val="24"/>
        </w:rPr>
        <w:br/>
        <w:t>= Rémunération du titulaire</w:t>
      </w:r>
    </w:p>
    <w:p w14:paraId="2BA1962A" w14:textId="73231E2C" w:rsidR="00BA6C8E" w:rsidRPr="00810C9D" w:rsidRDefault="00BA6C8E" w:rsidP="00BA6C8E">
      <w:pPr>
        <w:jc w:val="both"/>
        <w:rPr>
          <w:sz w:val="24"/>
        </w:rPr>
      </w:pPr>
      <w:r>
        <w:rPr>
          <w:sz w:val="24"/>
        </w:rPr>
        <w:lastRenderedPageBreak/>
        <w:br/>
      </w:r>
      <w:r w:rsidRPr="00810C9D">
        <w:rPr>
          <w:sz w:val="24"/>
        </w:rPr>
        <w:t>La</w:t>
      </w:r>
      <w:r>
        <w:rPr>
          <w:sz w:val="24"/>
        </w:rPr>
        <w:t xml:space="preserve"> </w:t>
      </w:r>
      <w:r w:rsidRPr="00810C9D">
        <w:rPr>
          <w:sz w:val="24"/>
        </w:rPr>
        <w:t>base</w:t>
      </w:r>
      <w:r>
        <w:rPr>
          <w:sz w:val="24"/>
        </w:rPr>
        <w:t xml:space="preserve"> </w:t>
      </w:r>
      <w:r w:rsidRPr="00810C9D">
        <w:rPr>
          <w:sz w:val="24"/>
        </w:rPr>
        <w:t>éligible</w:t>
      </w:r>
      <w:r>
        <w:rPr>
          <w:sz w:val="24"/>
        </w:rPr>
        <w:t xml:space="preserve"> </w:t>
      </w:r>
      <w:r w:rsidRPr="00810C9D">
        <w:rPr>
          <w:sz w:val="24"/>
        </w:rPr>
        <w:t>s’entend</w:t>
      </w:r>
      <w:r>
        <w:rPr>
          <w:sz w:val="24"/>
        </w:rPr>
        <w:t xml:space="preserve"> </w:t>
      </w:r>
      <w:r w:rsidRPr="00810C9D">
        <w:rPr>
          <w:sz w:val="24"/>
        </w:rPr>
        <w:t>comme</w:t>
      </w:r>
      <w:r>
        <w:rPr>
          <w:sz w:val="24"/>
        </w:rPr>
        <w:t xml:space="preserve"> </w:t>
      </w:r>
      <w:r w:rsidRPr="00810C9D">
        <w:rPr>
          <w:sz w:val="24"/>
        </w:rPr>
        <w:t>celle</w:t>
      </w:r>
      <w:r w:rsidR="00E229F9">
        <w:rPr>
          <w:sz w:val="24"/>
        </w:rPr>
        <w:t xml:space="preserve"> étant</w:t>
      </w:r>
      <w:r>
        <w:rPr>
          <w:sz w:val="24"/>
        </w:rPr>
        <w:t xml:space="preserve"> </w:t>
      </w:r>
      <w:r w:rsidRPr="00810C9D">
        <w:rPr>
          <w:sz w:val="24"/>
        </w:rPr>
        <w:t>définie</w:t>
      </w:r>
      <w:r>
        <w:rPr>
          <w:sz w:val="24"/>
        </w:rPr>
        <w:t xml:space="preserve"> </w:t>
      </w:r>
      <w:r w:rsidRPr="00810C9D">
        <w:rPr>
          <w:sz w:val="24"/>
        </w:rPr>
        <w:t>aux</w:t>
      </w:r>
      <w:r>
        <w:rPr>
          <w:sz w:val="24"/>
        </w:rPr>
        <w:t xml:space="preserve"> </w:t>
      </w:r>
      <w:r w:rsidRPr="00810C9D">
        <w:rPr>
          <w:sz w:val="24"/>
        </w:rPr>
        <w:t>artic</w:t>
      </w:r>
      <w:r>
        <w:rPr>
          <w:sz w:val="24"/>
        </w:rPr>
        <w:t xml:space="preserve">les 199 </w:t>
      </w:r>
      <w:proofErr w:type="spellStart"/>
      <w:r>
        <w:rPr>
          <w:sz w:val="24"/>
        </w:rPr>
        <w:t>undecies</w:t>
      </w:r>
      <w:proofErr w:type="spellEnd"/>
      <w:r>
        <w:rPr>
          <w:sz w:val="24"/>
        </w:rPr>
        <w:t xml:space="preserve"> C et </w:t>
      </w:r>
      <w:r w:rsidR="00545718">
        <w:rPr>
          <w:sz w:val="24"/>
        </w:rPr>
        <w:t>244 quarter Y</w:t>
      </w:r>
      <w:r w:rsidRPr="00810C9D">
        <w:rPr>
          <w:sz w:val="24"/>
        </w:rPr>
        <w:t xml:space="preserve"> du Code général des impôts. </w:t>
      </w:r>
    </w:p>
    <w:p w14:paraId="710AA3B2" w14:textId="77777777" w:rsidR="00BA6C8E" w:rsidRPr="00810C9D" w:rsidRDefault="00BA6C8E" w:rsidP="00BA6C8E">
      <w:pPr>
        <w:jc w:val="both"/>
        <w:rPr>
          <w:sz w:val="24"/>
        </w:rPr>
      </w:pPr>
      <w:r w:rsidRPr="00101236">
        <w:rPr>
          <w:sz w:val="24"/>
        </w:rPr>
        <w:t>Cette rémunération est réputée couvrir toute intervention du titulaire nécessaire à l’atteinte des résultats objet du présent accord-cadre.</w:t>
      </w:r>
      <w:r w:rsidRPr="00810C9D">
        <w:rPr>
          <w:sz w:val="24"/>
        </w:rPr>
        <w:t xml:space="preserve"> </w:t>
      </w:r>
    </w:p>
    <w:p w14:paraId="4036C6B8" w14:textId="77777777" w:rsidR="00BA6C8E" w:rsidRDefault="00BA6C8E" w:rsidP="00BA6C8E">
      <w:pPr>
        <w:jc w:val="both"/>
        <w:rPr>
          <w:sz w:val="24"/>
        </w:rPr>
      </w:pPr>
      <w:r w:rsidRPr="00101236">
        <w:rPr>
          <w:sz w:val="24"/>
        </w:rPr>
        <w:t xml:space="preserve">Le taux </w:t>
      </w:r>
      <w:r w:rsidR="00101236" w:rsidRPr="00101236">
        <w:rPr>
          <w:sz w:val="24"/>
        </w:rPr>
        <w:t>de rémunération applicable à l’opération</w:t>
      </w:r>
      <w:r w:rsidRPr="00101236">
        <w:rPr>
          <w:sz w:val="24"/>
        </w:rPr>
        <w:t xml:space="preserve"> est fixé en annexe </w:t>
      </w:r>
      <w:r w:rsidR="00620DF2">
        <w:rPr>
          <w:sz w:val="24"/>
        </w:rPr>
        <w:t>2</w:t>
      </w:r>
      <w:r w:rsidRPr="00101236">
        <w:rPr>
          <w:sz w:val="24"/>
        </w:rPr>
        <w:t xml:space="preserve"> au présent accord-cadre.</w:t>
      </w:r>
      <w:r>
        <w:rPr>
          <w:sz w:val="24"/>
        </w:rPr>
        <w:t xml:space="preserve"> </w:t>
      </w:r>
    </w:p>
    <w:p w14:paraId="1AB0CAD0" w14:textId="77777777" w:rsidR="003D7A03" w:rsidRDefault="003D7A03" w:rsidP="00BA6C8E">
      <w:pPr>
        <w:jc w:val="both"/>
        <w:rPr>
          <w:sz w:val="24"/>
        </w:rPr>
      </w:pPr>
    </w:p>
    <w:p w14:paraId="10725FC8" w14:textId="77777777" w:rsidR="00BA6C8E" w:rsidRPr="00C869B8" w:rsidRDefault="00BA6C8E" w:rsidP="00BA6C8E">
      <w:pPr>
        <w:pStyle w:val="Titre3"/>
      </w:pPr>
      <w:bookmarkStart w:id="12" w:name="_Toc145312169"/>
      <w:r>
        <w:t>Modalités de rémunération</w:t>
      </w:r>
      <w:bookmarkEnd w:id="12"/>
    </w:p>
    <w:p w14:paraId="0ED13475" w14:textId="77777777" w:rsidR="00BA6C8E" w:rsidRDefault="00BA6C8E" w:rsidP="00BA6C8E">
      <w:pPr>
        <w:jc w:val="both"/>
        <w:rPr>
          <w:sz w:val="24"/>
        </w:rPr>
      </w:pPr>
      <w:r w:rsidRPr="00C37AEE">
        <w:rPr>
          <w:sz w:val="24"/>
        </w:rPr>
        <w:t>Les titulaires de l’</w:t>
      </w:r>
      <w:r>
        <w:rPr>
          <w:sz w:val="24"/>
        </w:rPr>
        <w:t>accord-cadre</w:t>
      </w:r>
      <w:r w:rsidRPr="00C37AEE">
        <w:rPr>
          <w:sz w:val="24"/>
        </w:rPr>
        <w:t xml:space="preserve"> sont rémunérés par les </w:t>
      </w:r>
      <w:r>
        <w:rPr>
          <w:sz w:val="24"/>
        </w:rPr>
        <w:t xml:space="preserve">investisseurs </w:t>
      </w:r>
      <w:r w:rsidRPr="00C37AEE">
        <w:rPr>
          <w:sz w:val="24"/>
        </w:rPr>
        <w:t>en</w:t>
      </w:r>
      <w:r>
        <w:rPr>
          <w:sz w:val="24"/>
        </w:rPr>
        <w:t xml:space="preserve"> </w:t>
      </w:r>
      <w:r w:rsidRPr="00C37AEE">
        <w:rPr>
          <w:sz w:val="24"/>
        </w:rPr>
        <w:t>vertu</w:t>
      </w:r>
      <w:r>
        <w:rPr>
          <w:sz w:val="24"/>
        </w:rPr>
        <w:t xml:space="preserve"> </w:t>
      </w:r>
      <w:r w:rsidRPr="00C37AEE">
        <w:rPr>
          <w:sz w:val="24"/>
        </w:rPr>
        <w:t>des</w:t>
      </w:r>
      <w:r>
        <w:rPr>
          <w:sz w:val="24"/>
        </w:rPr>
        <w:t xml:space="preserve"> </w:t>
      </w:r>
      <w:r w:rsidRPr="00C37AEE">
        <w:rPr>
          <w:sz w:val="24"/>
        </w:rPr>
        <w:t>dispositions</w:t>
      </w:r>
      <w:r>
        <w:rPr>
          <w:sz w:val="24"/>
        </w:rPr>
        <w:t xml:space="preserve"> </w:t>
      </w:r>
      <w:r w:rsidRPr="00C37AEE">
        <w:rPr>
          <w:sz w:val="24"/>
        </w:rPr>
        <w:t>du</w:t>
      </w:r>
      <w:r>
        <w:rPr>
          <w:sz w:val="24"/>
        </w:rPr>
        <w:t xml:space="preserve"> </w:t>
      </w:r>
      <w:r w:rsidRPr="00C37AEE">
        <w:rPr>
          <w:sz w:val="24"/>
        </w:rPr>
        <w:t>Code</w:t>
      </w:r>
      <w:r>
        <w:rPr>
          <w:sz w:val="24"/>
        </w:rPr>
        <w:t xml:space="preserve"> </w:t>
      </w:r>
      <w:r w:rsidRPr="00C37AEE">
        <w:rPr>
          <w:sz w:val="24"/>
        </w:rPr>
        <w:t>général</w:t>
      </w:r>
      <w:r>
        <w:rPr>
          <w:sz w:val="24"/>
        </w:rPr>
        <w:t xml:space="preserve"> </w:t>
      </w:r>
      <w:r w:rsidRPr="00C37AEE">
        <w:rPr>
          <w:sz w:val="24"/>
        </w:rPr>
        <w:t>des</w:t>
      </w:r>
      <w:r>
        <w:rPr>
          <w:sz w:val="24"/>
        </w:rPr>
        <w:t xml:space="preserve"> </w:t>
      </w:r>
      <w:r w:rsidRPr="00C37AEE">
        <w:rPr>
          <w:sz w:val="24"/>
        </w:rPr>
        <w:t>impôts.</w:t>
      </w:r>
      <w:r>
        <w:rPr>
          <w:sz w:val="24"/>
        </w:rPr>
        <w:t xml:space="preserve"> </w:t>
      </w:r>
      <w:r w:rsidRPr="00C37AEE">
        <w:rPr>
          <w:sz w:val="24"/>
        </w:rPr>
        <w:t>Ils</w:t>
      </w:r>
      <w:r>
        <w:rPr>
          <w:sz w:val="24"/>
        </w:rPr>
        <w:t xml:space="preserve"> sont </w:t>
      </w:r>
      <w:r w:rsidRPr="00C37AEE">
        <w:rPr>
          <w:sz w:val="24"/>
        </w:rPr>
        <w:t>rémunérés par la structure de portage de l’opér</w:t>
      </w:r>
      <w:r>
        <w:rPr>
          <w:sz w:val="24"/>
        </w:rPr>
        <w:t>ation de défiscalisation</w:t>
      </w:r>
      <w:r w:rsidRPr="00C37AEE">
        <w:rPr>
          <w:sz w:val="24"/>
        </w:rPr>
        <w:t xml:space="preserve"> mise</w:t>
      </w:r>
      <w:r>
        <w:rPr>
          <w:sz w:val="24"/>
        </w:rPr>
        <w:t xml:space="preserve"> </w:t>
      </w:r>
      <w:r w:rsidRPr="00C37AEE">
        <w:rPr>
          <w:sz w:val="24"/>
        </w:rPr>
        <w:t>en</w:t>
      </w:r>
      <w:r>
        <w:rPr>
          <w:sz w:val="24"/>
        </w:rPr>
        <w:t xml:space="preserve"> </w:t>
      </w:r>
      <w:r w:rsidRPr="00C37AEE">
        <w:rPr>
          <w:sz w:val="24"/>
        </w:rPr>
        <w:t>place</w:t>
      </w:r>
      <w:r>
        <w:rPr>
          <w:sz w:val="24"/>
        </w:rPr>
        <w:t xml:space="preserve"> </w:t>
      </w:r>
      <w:r w:rsidRPr="00C37AEE">
        <w:rPr>
          <w:sz w:val="24"/>
        </w:rPr>
        <w:t>dans</w:t>
      </w:r>
      <w:r>
        <w:rPr>
          <w:sz w:val="24"/>
        </w:rPr>
        <w:t xml:space="preserve"> </w:t>
      </w:r>
      <w:r w:rsidRPr="00C37AEE">
        <w:rPr>
          <w:sz w:val="24"/>
        </w:rPr>
        <w:t>le</w:t>
      </w:r>
      <w:r>
        <w:rPr>
          <w:sz w:val="24"/>
        </w:rPr>
        <w:t xml:space="preserve"> </w:t>
      </w:r>
      <w:r w:rsidRPr="00C37AEE">
        <w:rPr>
          <w:sz w:val="24"/>
        </w:rPr>
        <w:t>cadre</w:t>
      </w:r>
      <w:r>
        <w:rPr>
          <w:sz w:val="24"/>
        </w:rPr>
        <w:t xml:space="preserve"> </w:t>
      </w:r>
      <w:r w:rsidRPr="00C37AEE">
        <w:rPr>
          <w:sz w:val="24"/>
        </w:rPr>
        <w:t>de</w:t>
      </w:r>
      <w:r>
        <w:rPr>
          <w:sz w:val="24"/>
        </w:rPr>
        <w:t xml:space="preserve"> </w:t>
      </w:r>
      <w:r w:rsidRPr="00C37AEE">
        <w:rPr>
          <w:sz w:val="24"/>
        </w:rPr>
        <w:t>l’opération</w:t>
      </w:r>
      <w:r>
        <w:rPr>
          <w:sz w:val="24"/>
        </w:rPr>
        <w:t xml:space="preserve"> </w:t>
      </w:r>
      <w:r w:rsidRPr="00C37AEE">
        <w:rPr>
          <w:sz w:val="24"/>
        </w:rPr>
        <w:t>de</w:t>
      </w:r>
      <w:r>
        <w:rPr>
          <w:sz w:val="24"/>
        </w:rPr>
        <w:t xml:space="preserve"> </w:t>
      </w:r>
      <w:r w:rsidRPr="00C37AEE">
        <w:rPr>
          <w:sz w:val="24"/>
        </w:rPr>
        <w:t>défiscalisation</w:t>
      </w:r>
      <w:r>
        <w:rPr>
          <w:sz w:val="24"/>
        </w:rPr>
        <w:t xml:space="preserve"> </w:t>
      </w:r>
      <w:r w:rsidRPr="00C37AEE">
        <w:rPr>
          <w:sz w:val="24"/>
        </w:rPr>
        <w:t>visée</w:t>
      </w:r>
      <w:r>
        <w:rPr>
          <w:sz w:val="24"/>
        </w:rPr>
        <w:t xml:space="preserve"> </w:t>
      </w:r>
      <w:r w:rsidRPr="00C37AEE">
        <w:rPr>
          <w:sz w:val="24"/>
        </w:rPr>
        <w:t>par</w:t>
      </w:r>
      <w:r>
        <w:rPr>
          <w:sz w:val="24"/>
        </w:rPr>
        <w:t xml:space="preserve"> </w:t>
      </w:r>
      <w:r w:rsidRPr="00C37AEE">
        <w:rPr>
          <w:sz w:val="24"/>
        </w:rPr>
        <w:t>chaque marché</w:t>
      </w:r>
      <w:r>
        <w:rPr>
          <w:sz w:val="24"/>
        </w:rPr>
        <w:t xml:space="preserve"> </w:t>
      </w:r>
      <w:r w:rsidRPr="00C37AEE">
        <w:rPr>
          <w:sz w:val="24"/>
        </w:rPr>
        <w:t>subséquent.</w:t>
      </w:r>
      <w:r>
        <w:rPr>
          <w:sz w:val="24"/>
        </w:rPr>
        <w:t xml:space="preserve"> </w:t>
      </w:r>
      <w:r w:rsidRPr="00C37AEE">
        <w:rPr>
          <w:sz w:val="24"/>
        </w:rPr>
        <w:t>Les</w:t>
      </w:r>
      <w:r>
        <w:rPr>
          <w:sz w:val="24"/>
        </w:rPr>
        <w:t xml:space="preserve"> </w:t>
      </w:r>
      <w:r w:rsidRPr="00C37AEE">
        <w:rPr>
          <w:sz w:val="24"/>
        </w:rPr>
        <w:t>titulaires</w:t>
      </w:r>
      <w:r>
        <w:rPr>
          <w:sz w:val="24"/>
        </w:rPr>
        <w:t xml:space="preserve"> </w:t>
      </w:r>
      <w:r w:rsidRPr="00C37AEE">
        <w:rPr>
          <w:sz w:val="24"/>
        </w:rPr>
        <w:t>font</w:t>
      </w:r>
      <w:r>
        <w:rPr>
          <w:sz w:val="24"/>
        </w:rPr>
        <w:t xml:space="preserve"> </w:t>
      </w:r>
      <w:r w:rsidRPr="00C37AEE">
        <w:rPr>
          <w:sz w:val="24"/>
        </w:rPr>
        <w:t>leur</w:t>
      </w:r>
      <w:r>
        <w:rPr>
          <w:sz w:val="24"/>
        </w:rPr>
        <w:t xml:space="preserve"> </w:t>
      </w:r>
      <w:r w:rsidRPr="00C37AEE">
        <w:rPr>
          <w:sz w:val="24"/>
        </w:rPr>
        <w:t>affaire</w:t>
      </w:r>
      <w:r>
        <w:rPr>
          <w:sz w:val="24"/>
        </w:rPr>
        <w:t xml:space="preserve"> </w:t>
      </w:r>
      <w:r w:rsidRPr="00C37AEE">
        <w:rPr>
          <w:sz w:val="24"/>
        </w:rPr>
        <w:t>de</w:t>
      </w:r>
      <w:r>
        <w:rPr>
          <w:sz w:val="24"/>
        </w:rPr>
        <w:t xml:space="preserve"> </w:t>
      </w:r>
      <w:r w:rsidRPr="00C37AEE">
        <w:rPr>
          <w:sz w:val="24"/>
        </w:rPr>
        <w:t>la</w:t>
      </w:r>
      <w:r>
        <w:rPr>
          <w:sz w:val="24"/>
        </w:rPr>
        <w:t xml:space="preserve"> </w:t>
      </w:r>
      <w:r w:rsidRPr="00C37AEE">
        <w:rPr>
          <w:sz w:val="24"/>
        </w:rPr>
        <w:t>facturation</w:t>
      </w:r>
      <w:r>
        <w:rPr>
          <w:sz w:val="24"/>
        </w:rPr>
        <w:t xml:space="preserve"> </w:t>
      </w:r>
      <w:r w:rsidRPr="00C37AEE">
        <w:rPr>
          <w:sz w:val="24"/>
        </w:rPr>
        <w:t>et</w:t>
      </w:r>
      <w:r>
        <w:rPr>
          <w:sz w:val="24"/>
        </w:rPr>
        <w:t xml:space="preserve"> </w:t>
      </w:r>
      <w:r w:rsidRPr="00C37AEE">
        <w:rPr>
          <w:sz w:val="24"/>
        </w:rPr>
        <w:t xml:space="preserve">du recouvrement de cette rémunération. </w:t>
      </w:r>
    </w:p>
    <w:p w14:paraId="0AD613D8" w14:textId="0B614730" w:rsidR="00101236" w:rsidRDefault="00BA6C8E" w:rsidP="00861151">
      <w:pPr>
        <w:jc w:val="both"/>
        <w:rPr>
          <w:rFonts w:asciiTheme="majorHAnsi" w:eastAsiaTheme="majorEastAsia" w:hAnsiTheme="majorHAnsi" w:cstheme="majorBidi"/>
          <w:b/>
          <w:color w:val="17365D" w:themeColor="text2" w:themeShade="BF"/>
          <w:spacing w:val="5"/>
          <w:kern w:val="28"/>
          <w:sz w:val="28"/>
          <w:szCs w:val="52"/>
        </w:rPr>
      </w:pPr>
      <w:r>
        <w:rPr>
          <w:sz w:val="24"/>
        </w:rPr>
        <w:t>En tout état de cause, l’accord-cadre est sans montant minimum et sans montant maximum, en valeur et en quantité.</w:t>
      </w:r>
    </w:p>
    <w:p w14:paraId="51C406CE" w14:textId="77777777" w:rsidR="00EF65CE" w:rsidRDefault="00EF65CE" w:rsidP="00BD3286">
      <w:pPr>
        <w:pStyle w:val="Titre2"/>
        <w:keepNext w:val="0"/>
        <w:keepLines w:val="0"/>
        <w:spacing w:before="0" w:after="300" w:line="240" w:lineRule="auto"/>
        <w:ind w:left="720" w:hanging="360"/>
        <w:contextualSpacing/>
        <w:jc w:val="both"/>
        <w:rPr>
          <w:bCs w:val="0"/>
          <w:color w:val="17365D" w:themeColor="text2" w:themeShade="BF"/>
          <w:spacing w:val="5"/>
          <w:kern w:val="28"/>
          <w:sz w:val="28"/>
          <w:szCs w:val="52"/>
        </w:rPr>
      </w:pPr>
      <w:bookmarkStart w:id="13" w:name="_Toc145312170"/>
      <w:r>
        <w:rPr>
          <w:bCs w:val="0"/>
          <w:color w:val="17365D" w:themeColor="text2" w:themeShade="BF"/>
          <w:spacing w:val="5"/>
          <w:kern w:val="28"/>
          <w:sz w:val="28"/>
          <w:szCs w:val="52"/>
        </w:rPr>
        <w:t xml:space="preserve">Article </w:t>
      </w:r>
      <w:r w:rsidR="006408CE">
        <w:rPr>
          <w:bCs w:val="0"/>
          <w:color w:val="17365D" w:themeColor="text2" w:themeShade="BF"/>
          <w:spacing w:val="5"/>
          <w:kern w:val="28"/>
          <w:sz w:val="28"/>
          <w:szCs w:val="52"/>
        </w:rPr>
        <w:t>6</w:t>
      </w:r>
      <w:r>
        <w:rPr>
          <w:bCs w:val="0"/>
          <w:color w:val="17365D" w:themeColor="text2" w:themeShade="BF"/>
          <w:spacing w:val="5"/>
          <w:kern w:val="28"/>
          <w:sz w:val="28"/>
          <w:szCs w:val="52"/>
        </w:rPr>
        <w:t xml:space="preserve"> – Résiliation de l’accord-cadre</w:t>
      </w:r>
      <w:bookmarkEnd w:id="13"/>
    </w:p>
    <w:p w14:paraId="6845F5A9" w14:textId="77777777" w:rsidR="0098360C" w:rsidRPr="0098360C" w:rsidRDefault="0098360C" w:rsidP="00BD3286">
      <w:pPr>
        <w:jc w:val="both"/>
        <w:rPr>
          <w:sz w:val="24"/>
        </w:rPr>
      </w:pPr>
      <w:r w:rsidRPr="0098360C">
        <w:rPr>
          <w:sz w:val="24"/>
        </w:rPr>
        <w:t>Le</w:t>
      </w:r>
      <w:r>
        <w:rPr>
          <w:sz w:val="24"/>
        </w:rPr>
        <w:t xml:space="preserve"> FCH </w:t>
      </w:r>
      <w:r w:rsidRPr="0098360C">
        <w:rPr>
          <w:sz w:val="24"/>
        </w:rPr>
        <w:t>peut</w:t>
      </w:r>
      <w:r>
        <w:rPr>
          <w:sz w:val="24"/>
        </w:rPr>
        <w:t xml:space="preserve"> </w:t>
      </w:r>
      <w:r w:rsidRPr="0098360C">
        <w:rPr>
          <w:sz w:val="24"/>
        </w:rPr>
        <w:t>mettre</w:t>
      </w:r>
      <w:r>
        <w:rPr>
          <w:sz w:val="24"/>
        </w:rPr>
        <w:t xml:space="preserve"> </w:t>
      </w:r>
      <w:r w:rsidRPr="0098360C">
        <w:rPr>
          <w:sz w:val="24"/>
        </w:rPr>
        <w:t>fin</w:t>
      </w:r>
      <w:r>
        <w:rPr>
          <w:sz w:val="24"/>
        </w:rPr>
        <w:t xml:space="preserve"> </w:t>
      </w:r>
      <w:r w:rsidRPr="0098360C">
        <w:rPr>
          <w:sz w:val="24"/>
        </w:rPr>
        <w:t>à</w:t>
      </w:r>
      <w:r>
        <w:rPr>
          <w:sz w:val="24"/>
        </w:rPr>
        <w:t xml:space="preserve"> </w:t>
      </w:r>
      <w:r w:rsidRPr="0098360C">
        <w:rPr>
          <w:sz w:val="24"/>
        </w:rPr>
        <w:t>l’exécution</w:t>
      </w:r>
      <w:r>
        <w:rPr>
          <w:sz w:val="24"/>
        </w:rPr>
        <w:t xml:space="preserve"> du présent accord-cadre</w:t>
      </w:r>
      <w:r w:rsidRPr="0098360C">
        <w:rPr>
          <w:sz w:val="24"/>
        </w:rPr>
        <w:t xml:space="preserve">, soit à la </w:t>
      </w:r>
      <w:r w:rsidRPr="00FA0387">
        <w:rPr>
          <w:sz w:val="24"/>
        </w:rPr>
        <w:t>demande du titulaire, soit pour faute du titulaire</w:t>
      </w:r>
      <w:r w:rsidR="00BD3286" w:rsidRPr="00FA0387">
        <w:rPr>
          <w:sz w:val="24"/>
        </w:rPr>
        <w:t>.</w:t>
      </w:r>
      <w:r w:rsidRPr="0098360C">
        <w:rPr>
          <w:sz w:val="24"/>
        </w:rPr>
        <w:t xml:space="preserve"> </w:t>
      </w:r>
    </w:p>
    <w:p w14:paraId="5EEE32A7" w14:textId="77777777" w:rsidR="00EF65CE" w:rsidRPr="0098360C" w:rsidRDefault="0098360C" w:rsidP="00BD3286">
      <w:pPr>
        <w:jc w:val="both"/>
        <w:rPr>
          <w:sz w:val="24"/>
        </w:rPr>
      </w:pPr>
      <w:r w:rsidRPr="0098360C">
        <w:rPr>
          <w:sz w:val="24"/>
        </w:rPr>
        <w:t>La décision de résiliation du marché est notifiée au titulaire.</w:t>
      </w:r>
      <w:r>
        <w:rPr>
          <w:sz w:val="24"/>
        </w:rPr>
        <w:t xml:space="preserve"> Sous réserve des dispositions </w:t>
      </w:r>
      <w:r w:rsidRPr="0098360C">
        <w:rPr>
          <w:sz w:val="24"/>
        </w:rPr>
        <w:t xml:space="preserve">particulières mentionnées ci-après, la résiliation prend effet à </w:t>
      </w:r>
      <w:r>
        <w:rPr>
          <w:sz w:val="24"/>
        </w:rPr>
        <w:t xml:space="preserve">la date fixée dans la décision </w:t>
      </w:r>
      <w:r w:rsidRPr="0098360C">
        <w:rPr>
          <w:sz w:val="24"/>
        </w:rPr>
        <w:t>de résiliation ou, à défaut, à la date de sa notification.</w:t>
      </w:r>
    </w:p>
    <w:p w14:paraId="731A1DD6" w14:textId="2ED93892" w:rsidR="00D2060B" w:rsidRDefault="00D2060B" w:rsidP="00DE14AD">
      <w:pPr>
        <w:pStyle w:val="Titre3"/>
        <w:numPr>
          <w:ilvl w:val="0"/>
          <w:numId w:val="8"/>
        </w:numPr>
        <w:jc w:val="both"/>
      </w:pPr>
      <w:bookmarkStart w:id="14" w:name="_Toc145312171"/>
      <w:r>
        <w:t xml:space="preserve">Résiliation à la demande </w:t>
      </w:r>
      <w:r w:rsidR="00024246">
        <w:t xml:space="preserve">du FCH ou </w:t>
      </w:r>
      <w:r>
        <w:t>du titulaire</w:t>
      </w:r>
      <w:bookmarkEnd w:id="14"/>
    </w:p>
    <w:p w14:paraId="4BF78D88" w14:textId="77777777" w:rsidR="00D2060B" w:rsidRDefault="00D2060B" w:rsidP="00BD3286">
      <w:pPr>
        <w:jc w:val="both"/>
        <w:rPr>
          <w:sz w:val="24"/>
        </w:rPr>
      </w:pPr>
      <w:r>
        <w:rPr>
          <w:sz w:val="24"/>
        </w:rPr>
        <w:t>L</w:t>
      </w:r>
      <w:r w:rsidRPr="00D2060B">
        <w:rPr>
          <w:sz w:val="24"/>
        </w:rPr>
        <w:t xml:space="preserve">e </w:t>
      </w:r>
      <w:r>
        <w:rPr>
          <w:sz w:val="24"/>
        </w:rPr>
        <w:t>FCH</w:t>
      </w:r>
      <w:r w:rsidRPr="00D2060B">
        <w:rPr>
          <w:sz w:val="24"/>
        </w:rPr>
        <w:t xml:space="preserve"> </w:t>
      </w:r>
      <w:r>
        <w:rPr>
          <w:sz w:val="24"/>
        </w:rPr>
        <w:t>pourra</w:t>
      </w:r>
      <w:r w:rsidRPr="00D2060B">
        <w:rPr>
          <w:sz w:val="24"/>
        </w:rPr>
        <w:t xml:space="preserve"> résilier le </w:t>
      </w:r>
      <w:r>
        <w:rPr>
          <w:sz w:val="24"/>
        </w:rPr>
        <w:t xml:space="preserve">présent </w:t>
      </w:r>
      <w:proofErr w:type="spellStart"/>
      <w:r>
        <w:rPr>
          <w:sz w:val="24"/>
        </w:rPr>
        <w:t>accord-cadre</w:t>
      </w:r>
      <w:proofErr w:type="spellEnd"/>
      <w:r w:rsidRPr="00D2060B">
        <w:rPr>
          <w:sz w:val="24"/>
        </w:rPr>
        <w:t xml:space="preserve"> de sa propre initiative</w:t>
      </w:r>
      <w:r>
        <w:rPr>
          <w:sz w:val="24"/>
        </w:rPr>
        <w:t xml:space="preserve"> ou à la demande du titulaire s</w:t>
      </w:r>
      <w:r w:rsidRPr="00D2060B">
        <w:rPr>
          <w:sz w:val="24"/>
        </w:rPr>
        <w:t>i le</w:t>
      </w:r>
      <w:r>
        <w:rPr>
          <w:sz w:val="24"/>
        </w:rPr>
        <w:t xml:space="preserve"> </w:t>
      </w:r>
      <w:r w:rsidRPr="00D2060B">
        <w:rPr>
          <w:sz w:val="24"/>
        </w:rPr>
        <w:t>titulaire</w:t>
      </w:r>
      <w:r>
        <w:rPr>
          <w:sz w:val="24"/>
        </w:rPr>
        <w:t xml:space="preserve"> </w:t>
      </w:r>
      <w:r w:rsidRPr="00D2060B">
        <w:rPr>
          <w:sz w:val="24"/>
        </w:rPr>
        <w:t>rencontre,</w:t>
      </w:r>
      <w:r>
        <w:rPr>
          <w:sz w:val="24"/>
        </w:rPr>
        <w:t xml:space="preserve"> </w:t>
      </w:r>
      <w:r w:rsidRPr="00D2060B">
        <w:rPr>
          <w:sz w:val="24"/>
        </w:rPr>
        <w:t>au</w:t>
      </w:r>
      <w:r>
        <w:rPr>
          <w:sz w:val="24"/>
        </w:rPr>
        <w:t xml:space="preserve"> </w:t>
      </w:r>
      <w:r w:rsidRPr="00D2060B">
        <w:rPr>
          <w:sz w:val="24"/>
        </w:rPr>
        <w:t>cours</w:t>
      </w:r>
      <w:r>
        <w:rPr>
          <w:sz w:val="24"/>
        </w:rPr>
        <w:t xml:space="preserve"> </w:t>
      </w:r>
      <w:r w:rsidRPr="00D2060B">
        <w:rPr>
          <w:sz w:val="24"/>
        </w:rPr>
        <w:t>de</w:t>
      </w:r>
      <w:r>
        <w:rPr>
          <w:sz w:val="24"/>
        </w:rPr>
        <w:t xml:space="preserve"> </w:t>
      </w:r>
      <w:r w:rsidRPr="00D2060B">
        <w:rPr>
          <w:sz w:val="24"/>
        </w:rPr>
        <w:t>l’exécution</w:t>
      </w:r>
      <w:r>
        <w:rPr>
          <w:sz w:val="24"/>
        </w:rPr>
        <w:t xml:space="preserve"> </w:t>
      </w:r>
      <w:r w:rsidRPr="00D2060B">
        <w:rPr>
          <w:sz w:val="24"/>
        </w:rPr>
        <w:t>de</w:t>
      </w:r>
      <w:r>
        <w:rPr>
          <w:sz w:val="24"/>
        </w:rPr>
        <w:t xml:space="preserve"> sa mission</w:t>
      </w:r>
      <w:r w:rsidRPr="00D2060B">
        <w:rPr>
          <w:sz w:val="24"/>
        </w:rPr>
        <w:t>,</w:t>
      </w:r>
      <w:r>
        <w:rPr>
          <w:sz w:val="24"/>
        </w:rPr>
        <w:t xml:space="preserve"> </w:t>
      </w:r>
      <w:r w:rsidRPr="00D2060B">
        <w:rPr>
          <w:sz w:val="24"/>
        </w:rPr>
        <w:t>des</w:t>
      </w:r>
      <w:r>
        <w:rPr>
          <w:sz w:val="24"/>
        </w:rPr>
        <w:t xml:space="preserve"> </w:t>
      </w:r>
      <w:r w:rsidRPr="00D2060B">
        <w:rPr>
          <w:sz w:val="24"/>
        </w:rPr>
        <w:t>difficultés</w:t>
      </w:r>
      <w:r>
        <w:rPr>
          <w:sz w:val="24"/>
        </w:rPr>
        <w:t xml:space="preserve"> </w:t>
      </w:r>
      <w:r w:rsidRPr="00D2060B">
        <w:rPr>
          <w:sz w:val="24"/>
        </w:rPr>
        <w:t>techniques</w:t>
      </w:r>
      <w:r>
        <w:rPr>
          <w:sz w:val="24"/>
        </w:rPr>
        <w:t xml:space="preserve"> </w:t>
      </w:r>
      <w:r w:rsidRPr="00D2060B">
        <w:rPr>
          <w:sz w:val="24"/>
        </w:rPr>
        <w:t>particulières</w:t>
      </w:r>
      <w:r>
        <w:rPr>
          <w:sz w:val="24"/>
        </w:rPr>
        <w:t xml:space="preserve"> </w:t>
      </w:r>
      <w:r w:rsidRPr="00D2060B">
        <w:rPr>
          <w:sz w:val="24"/>
        </w:rPr>
        <w:t>dont</w:t>
      </w:r>
      <w:r>
        <w:rPr>
          <w:sz w:val="24"/>
        </w:rPr>
        <w:t xml:space="preserve"> </w:t>
      </w:r>
      <w:r w:rsidRPr="00D2060B">
        <w:rPr>
          <w:sz w:val="24"/>
        </w:rPr>
        <w:t>la</w:t>
      </w:r>
      <w:r>
        <w:rPr>
          <w:sz w:val="24"/>
        </w:rPr>
        <w:t xml:space="preserve"> </w:t>
      </w:r>
      <w:r w:rsidRPr="00D2060B">
        <w:rPr>
          <w:sz w:val="24"/>
        </w:rPr>
        <w:t>solution</w:t>
      </w:r>
      <w:r>
        <w:rPr>
          <w:sz w:val="24"/>
        </w:rPr>
        <w:t xml:space="preserve"> </w:t>
      </w:r>
      <w:r w:rsidRPr="00D2060B">
        <w:rPr>
          <w:sz w:val="24"/>
        </w:rPr>
        <w:t>nécessiterait</w:t>
      </w:r>
      <w:r>
        <w:rPr>
          <w:sz w:val="24"/>
        </w:rPr>
        <w:t xml:space="preserve"> </w:t>
      </w:r>
      <w:r w:rsidRPr="00D2060B">
        <w:rPr>
          <w:sz w:val="24"/>
        </w:rPr>
        <w:t>la</w:t>
      </w:r>
      <w:r>
        <w:rPr>
          <w:sz w:val="24"/>
        </w:rPr>
        <w:t xml:space="preserve"> </w:t>
      </w:r>
      <w:r w:rsidRPr="00D2060B">
        <w:rPr>
          <w:sz w:val="24"/>
        </w:rPr>
        <w:t>mise</w:t>
      </w:r>
      <w:r>
        <w:rPr>
          <w:sz w:val="24"/>
        </w:rPr>
        <w:t xml:space="preserve"> </w:t>
      </w:r>
      <w:r w:rsidRPr="00D2060B">
        <w:rPr>
          <w:sz w:val="24"/>
        </w:rPr>
        <w:t>en</w:t>
      </w:r>
      <w:r>
        <w:rPr>
          <w:sz w:val="24"/>
        </w:rPr>
        <w:t xml:space="preserve"> </w:t>
      </w:r>
      <w:r w:rsidRPr="00D2060B">
        <w:rPr>
          <w:sz w:val="24"/>
        </w:rPr>
        <w:t>œuvre</w:t>
      </w:r>
      <w:r>
        <w:rPr>
          <w:sz w:val="24"/>
        </w:rPr>
        <w:t xml:space="preserve"> </w:t>
      </w:r>
      <w:r w:rsidRPr="00D2060B">
        <w:rPr>
          <w:sz w:val="24"/>
        </w:rPr>
        <w:t>de</w:t>
      </w:r>
      <w:r>
        <w:rPr>
          <w:sz w:val="24"/>
        </w:rPr>
        <w:t xml:space="preserve"> </w:t>
      </w:r>
      <w:r w:rsidRPr="00D2060B">
        <w:rPr>
          <w:sz w:val="24"/>
        </w:rPr>
        <w:t>moyens</w:t>
      </w:r>
      <w:r>
        <w:rPr>
          <w:sz w:val="24"/>
        </w:rPr>
        <w:t xml:space="preserve"> </w:t>
      </w:r>
      <w:r w:rsidRPr="00D2060B">
        <w:rPr>
          <w:sz w:val="24"/>
        </w:rPr>
        <w:t>hors de propo</w:t>
      </w:r>
      <w:r>
        <w:rPr>
          <w:sz w:val="24"/>
        </w:rPr>
        <w:t>rtion avec le montant du marché</w:t>
      </w:r>
    </w:p>
    <w:p w14:paraId="72FD7EBC" w14:textId="77777777" w:rsidR="00D2060B" w:rsidRDefault="00D2060B" w:rsidP="00BD3286">
      <w:pPr>
        <w:jc w:val="both"/>
        <w:rPr>
          <w:sz w:val="24"/>
        </w:rPr>
      </w:pPr>
      <w:r>
        <w:rPr>
          <w:sz w:val="24"/>
        </w:rPr>
        <w:t xml:space="preserve">Le FCH pourra résilier le présent accord-cadre si </w:t>
      </w:r>
      <w:r w:rsidRPr="00D2060B">
        <w:rPr>
          <w:sz w:val="24"/>
        </w:rPr>
        <w:t>le</w:t>
      </w:r>
      <w:r>
        <w:rPr>
          <w:sz w:val="24"/>
        </w:rPr>
        <w:t xml:space="preserve"> </w:t>
      </w:r>
      <w:r w:rsidRPr="00D2060B">
        <w:rPr>
          <w:sz w:val="24"/>
        </w:rPr>
        <w:t>titulaire</w:t>
      </w:r>
      <w:r>
        <w:rPr>
          <w:sz w:val="24"/>
        </w:rPr>
        <w:t xml:space="preserve"> </w:t>
      </w:r>
      <w:r w:rsidRPr="00D2060B">
        <w:rPr>
          <w:sz w:val="24"/>
        </w:rPr>
        <w:t>est</w:t>
      </w:r>
      <w:r>
        <w:rPr>
          <w:sz w:val="24"/>
        </w:rPr>
        <w:t xml:space="preserve"> </w:t>
      </w:r>
      <w:r w:rsidRPr="00D2060B">
        <w:rPr>
          <w:sz w:val="24"/>
        </w:rPr>
        <w:t>mis</w:t>
      </w:r>
      <w:r>
        <w:rPr>
          <w:sz w:val="24"/>
        </w:rPr>
        <w:t xml:space="preserve"> </w:t>
      </w:r>
      <w:r w:rsidRPr="00D2060B">
        <w:rPr>
          <w:sz w:val="24"/>
        </w:rPr>
        <w:t>dans</w:t>
      </w:r>
      <w:r>
        <w:rPr>
          <w:sz w:val="24"/>
        </w:rPr>
        <w:t xml:space="preserve"> </w:t>
      </w:r>
      <w:r w:rsidRPr="00D2060B">
        <w:rPr>
          <w:sz w:val="24"/>
        </w:rPr>
        <w:t>l’impossibilité</w:t>
      </w:r>
      <w:r>
        <w:rPr>
          <w:sz w:val="24"/>
        </w:rPr>
        <w:t xml:space="preserve"> </w:t>
      </w:r>
      <w:r w:rsidRPr="00D2060B">
        <w:rPr>
          <w:sz w:val="24"/>
        </w:rPr>
        <w:t>d’exécuter</w:t>
      </w:r>
      <w:r>
        <w:rPr>
          <w:sz w:val="24"/>
        </w:rPr>
        <w:t xml:space="preserve"> sa mission </w:t>
      </w:r>
      <w:r w:rsidRPr="00D2060B">
        <w:rPr>
          <w:sz w:val="24"/>
        </w:rPr>
        <w:t>du</w:t>
      </w:r>
      <w:r>
        <w:rPr>
          <w:sz w:val="24"/>
        </w:rPr>
        <w:t xml:space="preserve"> </w:t>
      </w:r>
      <w:r w:rsidRPr="00D2060B">
        <w:rPr>
          <w:sz w:val="24"/>
        </w:rPr>
        <w:t>fait</w:t>
      </w:r>
      <w:r>
        <w:rPr>
          <w:sz w:val="24"/>
        </w:rPr>
        <w:t xml:space="preserve"> </w:t>
      </w:r>
      <w:r w:rsidRPr="00D2060B">
        <w:rPr>
          <w:sz w:val="24"/>
        </w:rPr>
        <w:t>d’un événement ayan</w:t>
      </w:r>
      <w:r>
        <w:rPr>
          <w:sz w:val="24"/>
        </w:rPr>
        <w:t>t le caractère de force majeure</w:t>
      </w:r>
      <w:r w:rsidRPr="00D2060B">
        <w:rPr>
          <w:sz w:val="24"/>
        </w:rPr>
        <w:t>.</w:t>
      </w:r>
    </w:p>
    <w:p w14:paraId="01F3D475" w14:textId="0EE2701E" w:rsidR="001C7B65" w:rsidRDefault="00BD3286" w:rsidP="00BD3286">
      <w:pPr>
        <w:jc w:val="both"/>
        <w:rPr>
          <w:sz w:val="24"/>
        </w:rPr>
      </w:pPr>
      <w:r>
        <w:rPr>
          <w:sz w:val="24"/>
        </w:rPr>
        <w:t xml:space="preserve">Le FCH pourra également résilier le présent accord-cadre si les dispositifs fiscaux prévus par les articles 199 </w:t>
      </w:r>
      <w:proofErr w:type="spellStart"/>
      <w:r>
        <w:rPr>
          <w:sz w:val="24"/>
        </w:rPr>
        <w:t>undecies</w:t>
      </w:r>
      <w:proofErr w:type="spellEnd"/>
      <w:r>
        <w:rPr>
          <w:sz w:val="24"/>
        </w:rPr>
        <w:t xml:space="preserve"> C et </w:t>
      </w:r>
      <w:r w:rsidR="00545718">
        <w:rPr>
          <w:sz w:val="24"/>
        </w:rPr>
        <w:t>244 quarter Y</w:t>
      </w:r>
      <w:r>
        <w:rPr>
          <w:sz w:val="24"/>
        </w:rPr>
        <w:t xml:space="preserve"> du Code général des impôts venaient à être substantiellement modifiés</w:t>
      </w:r>
      <w:r w:rsidRPr="00D2060B">
        <w:rPr>
          <w:sz w:val="24"/>
        </w:rPr>
        <w:t>.</w:t>
      </w:r>
    </w:p>
    <w:p w14:paraId="5761AAD2" w14:textId="77777777" w:rsidR="001C7B65" w:rsidRDefault="001C7B65">
      <w:pPr>
        <w:rPr>
          <w:sz w:val="24"/>
        </w:rPr>
      </w:pPr>
      <w:r>
        <w:rPr>
          <w:sz w:val="24"/>
        </w:rPr>
        <w:br w:type="page"/>
      </w:r>
    </w:p>
    <w:p w14:paraId="0A7DC941" w14:textId="77777777" w:rsidR="00BD3286" w:rsidRPr="00D2060B" w:rsidRDefault="00BD3286" w:rsidP="00BD3286">
      <w:pPr>
        <w:jc w:val="both"/>
        <w:rPr>
          <w:sz w:val="24"/>
        </w:rPr>
      </w:pPr>
    </w:p>
    <w:p w14:paraId="022A3E2F" w14:textId="77777777" w:rsidR="00D2060B" w:rsidRDefault="00D2060B" w:rsidP="00BD3286">
      <w:pPr>
        <w:pStyle w:val="Titre3"/>
        <w:jc w:val="both"/>
      </w:pPr>
      <w:bookmarkStart w:id="15" w:name="_Toc145312172"/>
      <w:r>
        <w:t>Résiliation pour faute du titulaire</w:t>
      </w:r>
      <w:bookmarkEnd w:id="15"/>
    </w:p>
    <w:p w14:paraId="29A054F7" w14:textId="77777777" w:rsidR="00D2060B" w:rsidRPr="00213145" w:rsidRDefault="00D2060B" w:rsidP="00BD3286">
      <w:pPr>
        <w:jc w:val="both"/>
        <w:rPr>
          <w:sz w:val="24"/>
        </w:rPr>
      </w:pPr>
      <w:r w:rsidRPr="00213145">
        <w:rPr>
          <w:sz w:val="24"/>
        </w:rPr>
        <w:t>Le FCH pourra</w:t>
      </w:r>
      <w:r w:rsidR="00BD3286">
        <w:rPr>
          <w:sz w:val="24"/>
        </w:rPr>
        <w:t xml:space="preserve"> résilier l’accord-cadre </w:t>
      </w:r>
      <w:r w:rsidRPr="00213145">
        <w:rPr>
          <w:sz w:val="24"/>
        </w:rPr>
        <w:t>pour</w:t>
      </w:r>
      <w:r w:rsidR="00BD3286">
        <w:rPr>
          <w:sz w:val="24"/>
        </w:rPr>
        <w:t xml:space="preserve"> </w:t>
      </w:r>
      <w:r w:rsidRPr="00213145">
        <w:rPr>
          <w:sz w:val="24"/>
        </w:rPr>
        <w:t>faute</w:t>
      </w:r>
      <w:r w:rsidR="00BD3286">
        <w:rPr>
          <w:sz w:val="24"/>
        </w:rPr>
        <w:t xml:space="preserve"> </w:t>
      </w:r>
      <w:r w:rsidRPr="00213145">
        <w:rPr>
          <w:sz w:val="24"/>
        </w:rPr>
        <w:t>du</w:t>
      </w:r>
      <w:r w:rsidR="00BD3286">
        <w:rPr>
          <w:sz w:val="24"/>
        </w:rPr>
        <w:t xml:space="preserve"> </w:t>
      </w:r>
      <w:r w:rsidRPr="00213145">
        <w:rPr>
          <w:sz w:val="24"/>
        </w:rPr>
        <w:t>titulaire</w:t>
      </w:r>
      <w:r w:rsidR="00BD3286">
        <w:rPr>
          <w:sz w:val="24"/>
        </w:rPr>
        <w:t xml:space="preserve"> sans que cette résiliation n’ouvre droit à aucune indemnité </w:t>
      </w:r>
      <w:r w:rsidRPr="00213145">
        <w:rPr>
          <w:sz w:val="24"/>
        </w:rPr>
        <w:t>dans</w:t>
      </w:r>
      <w:r w:rsidR="00BD3286">
        <w:rPr>
          <w:sz w:val="24"/>
        </w:rPr>
        <w:t xml:space="preserve"> </w:t>
      </w:r>
      <w:r w:rsidRPr="00213145">
        <w:rPr>
          <w:sz w:val="24"/>
        </w:rPr>
        <w:t>les</w:t>
      </w:r>
      <w:r w:rsidR="00BD3286">
        <w:rPr>
          <w:sz w:val="24"/>
        </w:rPr>
        <w:t xml:space="preserve"> </w:t>
      </w:r>
      <w:r w:rsidRPr="00213145">
        <w:rPr>
          <w:sz w:val="24"/>
        </w:rPr>
        <w:t>cas suivants</w:t>
      </w:r>
      <w:r w:rsidR="00BD3286">
        <w:rPr>
          <w:sz w:val="24"/>
        </w:rPr>
        <w:t xml:space="preserve"> </w:t>
      </w:r>
      <w:r w:rsidRPr="00213145">
        <w:rPr>
          <w:sz w:val="24"/>
        </w:rPr>
        <w:t xml:space="preserve">: </w:t>
      </w:r>
    </w:p>
    <w:p w14:paraId="06E84193" w14:textId="77777777" w:rsidR="00213145" w:rsidRPr="00213145" w:rsidRDefault="00D2060B" w:rsidP="00DE14AD">
      <w:pPr>
        <w:pStyle w:val="Paragraphedeliste"/>
        <w:numPr>
          <w:ilvl w:val="0"/>
          <w:numId w:val="9"/>
        </w:numPr>
        <w:jc w:val="both"/>
        <w:rPr>
          <w:sz w:val="24"/>
        </w:rPr>
      </w:pPr>
      <w:r w:rsidRPr="00213145">
        <w:rPr>
          <w:sz w:val="24"/>
        </w:rPr>
        <w:t>Le titulaire ne s’est pas acquitté de ses obligations dans les délais contractuels ;</w:t>
      </w:r>
    </w:p>
    <w:p w14:paraId="172858EE" w14:textId="77777777" w:rsidR="00D2060B" w:rsidRPr="00213145" w:rsidRDefault="00D2060B" w:rsidP="00DE14AD">
      <w:pPr>
        <w:pStyle w:val="Paragraphedeliste"/>
        <w:numPr>
          <w:ilvl w:val="0"/>
          <w:numId w:val="9"/>
        </w:numPr>
        <w:jc w:val="both"/>
        <w:rPr>
          <w:sz w:val="24"/>
        </w:rPr>
      </w:pPr>
      <w:r w:rsidRPr="00213145">
        <w:rPr>
          <w:sz w:val="24"/>
        </w:rPr>
        <w:t xml:space="preserve">Le titulaire s’est livré, à l’occasion de l’exécution du marché, à des actes frauduleux ; </w:t>
      </w:r>
    </w:p>
    <w:p w14:paraId="01E8629B" w14:textId="77777777" w:rsidR="00D2060B" w:rsidRPr="00213145" w:rsidRDefault="00D2060B" w:rsidP="00DE14AD">
      <w:pPr>
        <w:pStyle w:val="Paragraphedeliste"/>
        <w:numPr>
          <w:ilvl w:val="0"/>
          <w:numId w:val="9"/>
        </w:numPr>
        <w:jc w:val="both"/>
        <w:rPr>
          <w:sz w:val="24"/>
        </w:rPr>
      </w:pPr>
      <w:r w:rsidRPr="00213145">
        <w:rPr>
          <w:sz w:val="24"/>
        </w:rPr>
        <w:t>Le</w:t>
      </w:r>
      <w:r w:rsidR="00BD3286">
        <w:rPr>
          <w:sz w:val="24"/>
        </w:rPr>
        <w:t xml:space="preserve"> </w:t>
      </w:r>
      <w:r w:rsidRPr="00213145">
        <w:rPr>
          <w:sz w:val="24"/>
        </w:rPr>
        <w:t>titulaire</w:t>
      </w:r>
      <w:r w:rsidR="00BD3286">
        <w:rPr>
          <w:sz w:val="24"/>
        </w:rPr>
        <w:t xml:space="preserve"> </w:t>
      </w:r>
      <w:r w:rsidRPr="00213145">
        <w:rPr>
          <w:sz w:val="24"/>
        </w:rPr>
        <w:t>ne</w:t>
      </w:r>
      <w:r w:rsidR="00BD3286">
        <w:rPr>
          <w:sz w:val="24"/>
        </w:rPr>
        <w:t xml:space="preserve"> </w:t>
      </w:r>
      <w:r w:rsidRPr="00213145">
        <w:rPr>
          <w:sz w:val="24"/>
        </w:rPr>
        <w:t>respecte</w:t>
      </w:r>
      <w:r w:rsidR="00BD3286">
        <w:rPr>
          <w:sz w:val="24"/>
        </w:rPr>
        <w:t xml:space="preserve"> </w:t>
      </w:r>
      <w:r w:rsidRPr="00213145">
        <w:rPr>
          <w:sz w:val="24"/>
        </w:rPr>
        <w:t>pas</w:t>
      </w:r>
      <w:r w:rsidR="00BD3286">
        <w:rPr>
          <w:sz w:val="24"/>
        </w:rPr>
        <w:t xml:space="preserve"> </w:t>
      </w:r>
      <w:r w:rsidRPr="00213145">
        <w:rPr>
          <w:sz w:val="24"/>
        </w:rPr>
        <w:t>les</w:t>
      </w:r>
      <w:r w:rsidR="00BD3286">
        <w:rPr>
          <w:sz w:val="24"/>
        </w:rPr>
        <w:t xml:space="preserve"> </w:t>
      </w:r>
      <w:r w:rsidR="00213145">
        <w:rPr>
          <w:sz w:val="24"/>
        </w:rPr>
        <w:t>obligations</w:t>
      </w:r>
      <w:r w:rsidR="00BD3286">
        <w:rPr>
          <w:sz w:val="24"/>
        </w:rPr>
        <w:t xml:space="preserve"> </w:t>
      </w:r>
      <w:r w:rsidR="00213145">
        <w:rPr>
          <w:sz w:val="24"/>
        </w:rPr>
        <w:t>relatives</w:t>
      </w:r>
      <w:r w:rsidR="00BD3286">
        <w:rPr>
          <w:sz w:val="24"/>
        </w:rPr>
        <w:t xml:space="preserve"> </w:t>
      </w:r>
      <w:r w:rsidR="00213145">
        <w:rPr>
          <w:sz w:val="24"/>
        </w:rPr>
        <w:t>à</w:t>
      </w:r>
      <w:r w:rsidR="00BD3286">
        <w:rPr>
          <w:sz w:val="24"/>
        </w:rPr>
        <w:t xml:space="preserve"> </w:t>
      </w:r>
      <w:r w:rsidR="00213145">
        <w:rPr>
          <w:sz w:val="24"/>
        </w:rPr>
        <w:t>la confidentialité et</w:t>
      </w:r>
      <w:r w:rsidR="00BD3286">
        <w:rPr>
          <w:sz w:val="24"/>
        </w:rPr>
        <w:t xml:space="preserve"> </w:t>
      </w:r>
      <w:r w:rsidRPr="00213145">
        <w:rPr>
          <w:sz w:val="24"/>
        </w:rPr>
        <w:t>à</w:t>
      </w:r>
      <w:r w:rsidR="00BD3286">
        <w:rPr>
          <w:sz w:val="24"/>
        </w:rPr>
        <w:t xml:space="preserve"> </w:t>
      </w:r>
      <w:r w:rsidRPr="00213145">
        <w:rPr>
          <w:sz w:val="24"/>
        </w:rPr>
        <w:t>la</w:t>
      </w:r>
      <w:r w:rsidR="00BD3286">
        <w:rPr>
          <w:sz w:val="24"/>
        </w:rPr>
        <w:t xml:space="preserve"> </w:t>
      </w:r>
      <w:r w:rsidRPr="00213145">
        <w:rPr>
          <w:sz w:val="24"/>
        </w:rPr>
        <w:t>protection</w:t>
      </w:r>
      <w:r w:rsidR="00BD3286">
        <w:rPr>
          <w:sz w:val="24"/>
        </w:rPr>
        <w:t xml:space="preserve"> </w:t>
      </w:r>
      <w:r w:rsidRPr="00213145">
        <w:rPr>
          <w:sz w:val="24"/>
        </w:rPr>
        <w:t>des</w:t>
      </w:r>
      <w:r w:rsidR="00BD3286">
        <w:rPr>
          <w:sz w:val="24"/>
        </w:rPr>
        <w:t xml:space="preserve"> </w:t>
      </w:r>
      <w:r w:rsidRPr="00213145">
        <w:rPr>
          <w:sz w:val="24"/>
        </w:rPr>
        <w:t>d</w:t>
      </w:r>
      <w:r w:rsidR="00213145">
        <w:rPr>
          <w:sz w:val="24"/>
        </w:rPr>
        <w:t>onnées</w:t>
      </w:r>
      <w:r w:rsidR="00BD3286">
        <w:rPr>
          <w:sz w:val="24"/>
        </w:rPr>
        <w:t xml:space="preserve"> </w:t>
      </w:r>
      <w:r w:rsidR="00213145">
        <w:rPr>
          <w:sz w:val="24"/>
        </w:rPr>
        <w:t>à</w:t>
      </w:r>
      <w:r w:rsidR="00BD3286">
        <w:rPr>
          <w:sz w:val="24"/>
        </w:rPr>
        <w:t xml:space="preserve"> </w:t>
      </w:r>
      <w:r w:rsidR="00213145">
        <w:rPr>
          <w:sz w:val="24"/>
        </w:rPr>
        <w:t>caractère</w:t>
      </w:r>
      <w:r w:rsidR="00BD3286">
        <w:rPr>
          <w:sz w:val="24"/>
        </w:rPr>
        <w:t xml:space="preserve"> </w:t>
      </w:r>
      <w:r w:rsidR="00213145">
        <w:rPr>
          <w:sz w:val="24"/>
        </w:rPr>
        <w:t>personnel</w:t>
      </w:r>
      <w:r w:rsidRPr="00213145">
        <w:rPr>
          <w:sz w:val="24"/>
        </w:rPr>
        <w:t xml:space="preserve"> ; </w:t>
      </w:r>
    </w:p>
    <w:p w14:paraId="4B1B7401" w14:textId="77777777" w:rsidR="00D2060B" w:rsidRPr="00213145" w:rsidRDefault="00D2060B" w:rsidP="00DE14AD">
      <w:pPr>
        <w:pStyle w:val="Paragraphedeliste"/>
        <w:numPr>
          <w:ilvl w:val="0"/>
          <w:numId w:val="9"/>
        </w:numPr>
        <w:jc w:val="both"/>
        <w:rPr>
          <w:sz w:val="24"/>
        </w:rPr>
      </w:pPr>
      <w:r w:rsidRPr="00213145">
        <w:rPr>
          <w:sz w:val="24"/>
        </w:rPr>
        <w:t>Postérieurement</w:t>
      </w:r>
      <w:r w:rsidR="00BD3286">
        <w:rPr>
          <w:sz w:val="24"/>
        </w:rPr>
        <w:t xml:space="preserve"> </w:t>
      </w:r>
      <w:r w:rsidRPr="00213145">
        <w:rPr>
          <w:sz w:val="24"/>
        </w:rPr>
        <w:t>à</w:t>
      </w:r>
      <w:r w:rsidR="00BD3286">
        <w:rPr>
          <w:sz w:val="24"/>
        </w:rPr>
        <w:t xml:space="preserve"> </w:t>
      </w:r>
      <w:r w:rsidR="00213145">
        <w:rPr>
          <w:sz w:val="24"/>
        </w:rPr>
        <w:t>la</w:t>
      </w:r>
      <w:r w:rsidR="00BD3286">
        <w:rPr>
          <w:sz w:val="24"/>
        </w:rPr>
        <w:t xml:space="preserve"> </w:t>
      </w:r>
      <w:r w:rsidR="00213145">
        <w:rPr>
          <w:sz w:val="24"/>
        </w:rPr>
        <w:t>signature</w:t>
      </w:r>
      <w:r w:rsidR="00BD3286">
        <w:rPr>
          <w:sz w:val="24"/>
        </w:rPr>
        <w:t xml:space="preserve"> </w:t>
      </w:r>
      <w:r w:rsidR="00213145">
        <w:rPr>
          <w:sz w:val="24"/>
        </w:rPr>
        <w:t>du</w:t>
      </w:r>
      <w:r w:rsidR="00BD3286">
        <w:rPr>
          <w:sz w:val="24"/>
        </w:rPr>
        <w:t xml:space="preserve"> </w:t>
      </w:r>
      <w:r w:rsidR="00213145">
        <w:rPr>
          <w:sz w:val="24"/>
        </w:rPr>
        <w:t>marché,</w:t>
      </w:r>
      <w:r w:rsidR="00BD3286">
        <w:rPr>
          <w:sz w:val="24"/>
        </w:rPr>
        <w:t xml:space="preserve"> le titulaire de l’accord-cadre </w:t>
      </w:r>
      <w:r w:rsidR="00213145">
        <w:rPr>
          <w:sz w:val="24"/>
        </w:rPr>
        <w:t xml:space="preserve">ne remplit plus </w:t>
      </w:r>
      <w:r w:rsidR="00213145" w:rsidRPr="00573085">
        <w:rPr>
          <w:sz w:val="24"/>
        </w:rPr>
        <w:t>les conditions</w:t>
      </w:r>
      <w:r w:rsidR="00213145">
        <w:rPr>
          <w:sz w:val="24"/>
        </w:rPr>
        <w:t xml:space="preserve"> </w:t>
      </w:r>
      <w:r w:rsidR="00213145" w:rsidRPr="00573085">
        <w:rPr>
          <w:sz w:val="24"/>
        </w:rPr>
        <w:t>d’exercice</w:t>
      </w:r>
      <w:r w:rsidR="00213145">
        <w:rPr>
          <w:sz w:val="24"/>
        </w:rPr>
        <w:t xml:space="preserve"> </w:t>
      </w:r>
      <w:r w:rsidR="00213145" w:rsidRPr="00573085">
        <w:rPr>
          <w:sz w:val="24"/>
        </w:rPr>
        <w:t>professionnel</w:t>
      </w:r>
      <w:r w:rsidR="00213145">
        <w:rPr>
          <w:sz w:val="24"/>
        </w:rPr>
        <w:t xml:space="preserve"> </w:t>
      </w:r>
      <w:r w:rsidR="00213145" w:rsidRPr="00573085">
        <w:rPr>
          <w:sz w:val="24"/>
        </w:rPr>
        <w:t>de</w:t>
      </w:r>
      <w:r w:rsidR="00213145">
        <w:rPr>
          <w:sz w:val="24"/>
        </w:rPr>
        <w:t xml:space="preserve"> </w:t>
      </w:r>
      <w:r w:rsidR="00213145" w:rsidRPr="00573085">
        <w:rPr>
          <w:sz w:val="24"/>
        </w:rPr>
        <w:t>l’article</w:t>
      </w:r>
      <w:r w:rsidR="00213145">
        <w:rPr>
          <w:sz w:val="24"/>
        </w:rPr>
        <w:t xml:space="preserve"> </w:t>
      </w:r>
      <w:r w:rsidR="00213145" w:rsidRPr="00573085">
        <w:rPr>
          <w:sz w:val="24"/>
        </w:rPr>
        <w:t>242</w:t>
      </w:r>
      <w:r w:rsidR="00213145">
        <w:rPr>
          <w:sz w:val="24"/>
        </w:rPr>
        <w:t xml:space="preserve"> </w:t>
      </w:r>
      <w:proofErr w:type="spellStart"/>
      <w:r w:rsidR="00213145" w:rsidRPr="00573085">
        <w:rPr>
          <w:sz w:val="24"/>
        </w:rPr>
        <w:t>septies</w:t>
      </w:r>
      <w:proofErr w:type="spellEnd"/>
      <w:r w:rsidR="00213145">
        <w:rPr>
          <w:sz w:val="24"/>
        </w:rPr>
        <w:t xml:space="preserve"> </w:t>
      </w:r>
      <w:r w:rsidR="00213145" w:rsidRPr="00573085">
        <w:rPr>
          <w:sz w:val="24"/>
        </w:rPr>
        <w:t>du</w:t>
      </w:r>
      <w:r w:rsidR="00213145">
        <w:rPr>
          <w:sz w:val="24"/>
        </w:rPr>
        <w:t xml:space="preserve"> </w:t>
      </w:r>
      <w:r w:rsidR="00213145" w:rsidRPr="00573085">
        <w:rPr>
          <w:sz w:val="24"/>
        </w:rPr>
        <w:t>Code général des impôts</w:t>
      </w:r>
      <w:r w:rsidRPr="00213145">
        <w:rPr>
          <w:sz w:val="24"/>
        </w:rPr>
        <w:t xml:space="preserve">; </w:t>
      </w:r>
    </w:p>
    <w:p w14:paraId="773E1DD5" w14:textId="77777777" w:rsidR="00D2060B" w:rsidRPr="00213145" w:rsidRDefault="00D2060B" w:rsidP="00DE14AD">
      <w:pPr>
        <w:pStyle w:val="Paragraphedeliste"/>
        <w:numPr>
          <w:ilvl w:val="0"/>
          <w:numId w:val="9"/>
        </w:numPr>
        <w:jc w:val="both"/>
        <w:rPr>
          <w:sz w:val="24"/>
        </w:rPr>
      </w:pPr>
      <w:r w:rsidRPr="00213145">
        <w:rPr>
          <w:sz w:val="24"/>
        </w:rPr>
        <w:t>Postérieurement à la signature du marché, les rensei</w:t>
      </w:r>
      <w:r w:rsidR="00213145">
        <w:rPr>
          <w:sz w:val="24"/>
        </w:rPr>
        <w:t xml:space="preserve">gnements ou documents produits </w:t>
      </w:r>
      <w:r w:rsidRPr="00213145">
        <w:rPr>
          <w:sz w:val="24"/>
        </w:rPr>
        <w:t>par</w:t>
      </w:r>
      <w:r w:rsidR="00BD3286">
        <w:rPr>
          <w:sz w:val="24"/>
        </w:rPr>
        <w:t xml:space="preserve"> </w:t>
      </w:r>
      <w:r w:rsidRPr="00213145">
        <w:rPr>
          <w:sz w:val="24"/>
        </w:rPr>
        <w:t>le</w:t>
      </w:r>
      <w:r w:rsidR="00BD3286">
        <w:rPr>
          <w:sz w:val="24"/>
        </w:rPr>
        <w:t xml:space="preserve"> </w:t>
      </w:r>
      <w:r w:rsidRPr="00213145">
        <w:rPr>
          <w:sz w:val="24"/>
        </w:rPr>
        <w:t>titulaire,</w:t>
      </w:r>
      <w:r w:rsidR="00BD3286">
        <w:rPr>
          <w:sz w:val="24"/>
        </w:rPr>
        <w:t xml:space="preserve"> </w:t>
      </w:r>
      <w:r w:rsidRPr="00213145">
        <w:rPr>
          <w:sz w:val="24"/>
        </w:rPr>
        <w:t>à</w:t>
      </w:r>
      <w:r w:rsidR="00BD3286">
        <w:rPr>
          <w:sz w:val="24"/>
        </w:rPr>
        <w:t xml:space="preserve"> </w:t>
      </w:r>
      <w:r w:rsidRPr="00213145">
        <w:rPr>
          <w:sz w:val="24"/>
        </w:rPr>
        <w:t>l’appui</w:t>
      </w:r>
      <w:r w:rsidR="00BD3286">
        <w:rPr>
          <w:sz w:val="24"/>
        </w:rPr>
        <w:t xml:space="preserve"> </w:t>
      </w:r>
      <w:r w:rsidRPr="00213145">
        <w:rPr>
          <w:sz w:val="24"/>
        </w:rPr>
        <w:t>de</w:t>
      </w:r>
      <w:r w:rsidR="00BD3286">
        <w:rPr>
          <w:sz w:val="24"/>
        </w:rPr>
        <w:t xml:space="preserve"> </w:t>
      </w:r>
      <w:r w:rsidRPr="00213145">
        <w:rPr>
          <w:sz w:val="24"/>
        </w:rPr>
        <w:t>sa</w:t>
      </w:r>
      <w:r w:rsidR="00BD3286">
        <w:rPr>
          <w:sz w:val="24"/>
        </w:rPr>
        <w:t xml:space="preserve"> </w:t>
      </w:r>
      <w:r w:rsidRPr="00213145">
        <w:rPr>
          <w:sz w:val="24"/>
        </w:rPr>
        <w:t>candidature</w:t>
      </w:r>
      <w:r w:rsidR="00BD3286">
        <w:rPr>
          <w:sz w:val="24"/>
        </w:rPr>
        <w:t xml:space="preserve"> </w:t>
      </w:r>
      <w:r w:rsidRPr="00213145">
        <w:rPr>
          <w:sz w:val="24"/>
        </w:rPr>
        <w:t>ou</w:t>
      </w:r>
      <w:r w:rsidR="00BD3286">
        <w:rPr>
          <w:sz w:val="24"/>
        </w:rPr>
        <w:t xml:space="preserve"> </w:t>
      </w:r>
      <w:r w:rsidRPr="00213145">
        <w:rPr>
          <w:sz w:val="24"/>
        </w:rPr>
        <w:t>exigés</w:t>
      </w:r>
      <w:r w:rsidR="00BD3286">
        <w:rPr>
          <w:sz w:val="24"/>
        </w:rPr>
        <w:t xml:space="preserve"> </w:t>
      </w:r>
      <w:r w:rsidRPr="00213145">
        <w:rPr>
          <w:sz w:val="24"/>
        </w:rPr>
        <w:t>préal</w:t>
      </w:r>
      <w:r w:rsidR="00213145">
        <w:rPr>
          <w:sz w:val="24"/>
        </w:rPr>
        <w:t>ablement</w:t>
      </w:r>
      <w:r w:rsidR="00BD3286">
        <w:rPr>
          <w:sz w:val="24"/>
        </w:rPr>
        <w:t xml:space="preserve"> </w:t>
      </w:r>
      <w:r w:rsidR="00213145">
        <w:rPr>
          <w:sz w:val="24"/>
        </w:rPr>
        <w:t>à</w:t>
      </w:r>
      <w:r w:rsidR="00BD3286">
        <w:rPr>
          <w:sz w:val="24"/>
        </w:rPr>
        <w:t xml:space="preserve"> </w:t>
      </w:r>
      <w:r w:rsidR="00213145">
        <w:rPr>
          <w:sz w:val="24"/>
        </w:rPr>
        <w:t>l’attribution</w:t>
      </w:r>
      <w:r w:rsidR="00BD3286">
        <w:rPr>
          <w:sz w:val="24"/>
        </w:rPr>
        <w:t xml:space="preserve"> </w:t>
      </w:r>
      <w:r w:rsidR="00213145">
        <w:rPr>
          <w:sz w:val="24"/>
        </w:rPr>
        <w:t xml:space="preserve">du </w:t>
      </w:r>
      <w:r w:rsidRPr="00213145">
        <w:rPr>
          <w:sz w:val="24"/>
        </w:rPr>
        <w:t xml:space="preserve">marché, s’avèrent inexacts. </w:t>
      </w:r>
    </w:p>
    <w:p w14:paraId="250B728F" w14:textId="77777777" w:rsidR="00D2060B" w:rsidRPr="00213145" w:rsidRDefault="00D2060B" w:rsidP="00BD3286">
      <w:pPr>
        <w:jc w:val="both"/>
        <w:rPr>
          <w:sz w:val="24"/>
        </w:rPr>
      </w:pPr>
      <w:r w:rsidRPr="00213145">
        <w:rPr>
          <w:sz w:val="24"/>
        </w:rPr>
        <w:t>La</w:t>
      </w:r>
      <w:r w:rsidR="00BD3286">
        <w:rPr>
          <w:sz w:val="24"/>
        </w:rPr>
        <w:t xml:space="preserve"> </w:t>
      </w:r>
      <w:r w:rsidRPr="00213145">
        <w:rPr>
          <w:sz w:val="24"/>
        </w:rPr>
        <w:t>résiliation</w:t>
      </w:r>
      <w:r w:rsidR="00BD3286">
        <w:rPr>
          <w:sz w:val="24"/>
        </w:rPr>
        <w:t xml:space="preserve"> </w:t>
      </w:r>
      <w:r w:rsidRPr="00213145">
        <w:rPr>
          <w:sz w:val="24"/>
        </w:rPr>
        <w:t>du</w:t>
      </w:r>
      <w:r w:rsidR="00BD3286">
        <w:rPr>
          <w:sz w:val="24"/>
        </w:rPr>
        <w:t xml:space="preserve"> </w:t>
      </w:r>
      <w:r w:rsidRPr="00213145">
        <w:rPr>
          <w:sz w:val="24"/>
        </w:rPr>
        <w:t>marché</w:t>
      </w:r>
      <w:r w:rsidR="00BD3286">
        <w:rPr>
          <w:sz w:val="24"/>
        </w:rPr>
        <w:t xml:space="preserve"> </w:t>
      </w:r>
      <w:r w:rsidRPr="00213145">
        <w:rPr>
          <w:sz w:val="24"/>
        </w:rPr>
        <w:t>ne</w:t>
      </w:r>
      <w:r w:rsidR="00BD3286">
        <w:rPr>
          <w:sz w:val="24"/>
        </w:rPr>
        <w:t xml:space="preserve"> </w:t>
      </w:r>
      <w:r w:rsidRPr="00213145">
        <w:rPr>
          <w:sz w:val="24"/>
        </w:rPr>
        <w:t>fait</w:t>
      </w:r>
      <w:r w:rsidR="00BD3286">
        <w:rPr>
          <w:sz w:val="24"/>
        </w:rPr>
        <w:t xml:space="preserve"> </w:t>
      </w:r>
      <w:r w:rsidRPr="00213145">
        <w:rPr>
          <w:sz w:val="24"/>
        </w:rPr>
        <w:t>pas</w:t>
      </w:r>
      <w:r w:rsidR="00BD3286">
        <w:rPr>
          <w:sz w:val="24"/>
        </w:rPr>
        <w:t xml:space="preserve"> </w:t>
      </w:r>
      <w:r w:rsidRPr="00213145">
        <w:rPr>
          <w:sz w:val="24"/>
        </w:rPr>
        <w:t>obstacle</w:t>
      </w:r>
      <w:r w:rsidR="00BD3286">
        <w:rPr>
          <w:sz w:val="24"/>
        </w:rPr>
        <w:t xml:space="preserve"> </w:t>
      </w:r>
      <w:r w:rsidRPr="00213145">
        <w:rPr>
          <w:sz w:val="24"/>
        </w:rPr>
        <w:t>à</w:t>
      </w:r>
      <w:r w:rsidR="00BD3286">
        <w:rPr>
          <w:sz w:val="24"/>
        </w:rPr>
        <w:t xml:space="preserve"> </w:t>
      </w:r>
      <w:r w:rsidRPr="00213145">
        <w:rPr>
          <w:sz w:val="24"/>
        </w:rPr>
        <w:t>l’exer</w:t>
      </w:r>
      <w:r w:rsidR="00BD3286">
        <w:rPr>
          <w:sz w:val="24"/>
        </w:rPr>
        <w:t xml:space="preserve">cice des actions civiles ou </w:t>
      </w:r>
      <w:r w:rsidRPr="00213145">
        <w:rPr>
          <w:sz w:val="24"/>
        </w:rPr>
        <w:t>pénales qui pourraient être intentées contre le titulaire.</w:t>
      </w:r>
      <w:r w:rsidR="00BD3286">
        <w:rPr>
          <w:sz w:val="24"/>
        </w:rPr>
        <w:t xml:space="preserve"> </w:t>
      </w:r>
    </w:p>
    <w:p w14:paraId="4336AD4B" w14:textId="77777777" w:rsidR="00BD3286" w:rsidRPr="00BD3286" w:rsidRDefault="00BD3286" w:rsidP="00BD3286"/>
    <w:p w14:paraId="1D08F4D8" w14:textId="77777777" w:rsidR="00E073A3" w:rsidRDefault="00E073A3">
      <w:pPr>
        <w:rPr>
          <w:rFonts w:asciiTheme="majorHAnsi" w:eastAsiaTheme="majorEastAsia" w:hAnsiTheme="majorHAnsi" w:cstheme="majorBidi"/>
          <w:b/>
          <w:color w:val="17365D" w:themeColor="text2" w:themeShade="BF"/>
          <w:spacing w:val="5"/>
          <w:kern w:val="28"/>
          <w:sz w:val="40"/>
          <w:szCs w:val="52"/>
        </w:rPr>
      </w:pPr>
      <w:r>
        <w:br w:type="page"/>
      </w:r>
    </w:p>
    <w:p w14:paraId="3C3D7509" w14:textId="7F55E396" w:rsidR="00EF65CE" w:rsidRPr="009801E8" w:rsidRDefault="00EF65CE" w:rsidP="00EF65CE">
      <w:pPr>
        <w:pStyle w:val="Titre1"/>
      </w:pPr>
      <w:bookmarkStart w:id="16" w:name="_Toc145312173"/>
      <w:r>
        <w:lastRenderedPageBreak/>
        <w:t>PARTIE 2 :</w:t>
      </w:r>
      <w:r w:rsidRPr="009801E8">
        <w:t xml:space="preserve"> </w:t>
      </w:r>
      <w:r>
        <w:t xml:space="preserve">Clauses relatives </w:t>
      </w:r>
      <w:r w:rsidR="000425DE">
        <w:t xml:space="preserve">aux </w:t>
      </w:r>
      <w:r>
        <w:t>marchés subséquents</w:t>
      </w:r>
      <w:bookmarkEnd w:id="16"/>
    </w:p>
    <w:p w14:paraId="1CBFB862" w14:textId="77777777" w:rsidR="00EF65CE" w:rsidRDefault="00EF65CE" w:rsidP="00EF65CE">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17" w:name="_Toc145312174"/>
      <w:r>
        <w:rPr>
          <w:bCs w:val="0"/>
          <w:color w:val="17365D" w:themeColor="text2" w:themeShade="BF"/>
          <w:spacing w:val="5"/>
          <w:kern w:val="28"/>
          <w:sz w:val="28"/>
          <w:szCs w:val="52"/>
        </w:rPr>
        <w:t xml:space="preserve">Article </w:t>
      </w:r>
      <w:r w:rsidR="006408CE">
        <w:rPr>
          <w:bCs w:val="0"/>
          <w:color w:val="17365D" w:themeColor="text2" w:themeShade="BF"/>
          <w:spacing w:val="5"/>
          <w:kern w:val="28"/>
          <w:sz w:val="28"/>
          <w:szCs w:val="52"/>
        </w:rPr>
        <w:t>7</w:t>
      </w:r>
      <w:r>
        <w:rPr>
          <w:bCs w:val="0"/>
          <w:color w:val="17365D" w:themeColor="text2" w:themeShade="BF"/>
          <w:spacing w:val="5"/>
          <w:kern w:val="28"/>
          <w:sz w:val="28"/>
          <w:szCs w:val="52"/>
        </w:rPr>
        <w:t xml:space="preserve"> – </w:t>
      </w:r>
      <w:r w:rsidR="00492903">
        <w:rPr>
          <w:bCs w:val="0"/>
          <w:color w:val="17365D" w:themeColor="text2" w:themeShade="BF"/>
          <w:spacing w:val="5"/>
          <w:kern w:val="28"/>
          <w:sz w:val="28"/>
          <w:szCs w:val="52"/>
        </w:rPr>
        <w:t>Prestations relatives aux</w:t>
      </w:r>
      <w:r>
        <w:rPr>
          <w:bCs w:val="0"/>
          <w:color w:val="17365D" w:themeColor="text2" w:themeShade="BF"/>
          <w:spacing w:val="5"/>
          <w:kern w:val="28"/>
          <w:sz w:val="28"/>
          <w:szCs w:val="52"/>
        </w:rPr>
        <w:t xml:space="preserve"> marchés subséquents</w:t>
      </w:r>
      <w:bookmarkEnd w:id="17"/>
    </w:p>
    <w:p w14:paraId="70595D12" w14:textId="77777777" w:rsidR="008E0816" w:rsidRDefault="000425DE" w:rsidP="00521BDF">
      <w:pPr>
        <w:jc w:val="both"/>
        <w:rPr>
          <w:sz w:val="24"/>
        </w:rPr>
      </w:pPr>
      <w:r w:rsidRPr="000425DE">
        <w:rPr>
          <w:sz w:val="24"/>
        </w:rPr>
        <w:t>Les marchés subséquents précisent</w:t>
      </w:r>
      <w:r w:rsidR="0039362B">
        <w:rPr>
          <w:sz w:val="24"/>
        </w:rPr>
        <w:t xml:space="preserve"> </w:t>
      </w:r>
      <w:r w:rsidRPr="000425DE">
        <w:rPr>
          <w:sz w:val="24"/>
        </w:rPr>
        <w:t xml:space="preserve">la nature, les caractéristiques et les modalités d’exécution des </w:t>
      </w:r>
      <w:r w:rsidR="00492903">
        <w:rPr>
          <w:sz w:val="24"/>
        </w:rPr>
        <w:t>prestations</w:t>
      </w:r>
      <w:r w:rsidRPr="000425DE">
        <w:rPr>
          <w:sz w:val="24"/>
        </w:rPr>
        <w:t xml:space="preserve"> qui n’ont pas été fixées dans l’accord-cadre. </w:t>
      </w:r>
      <w:r w:rsidR="00492903">
        <w:rPr>
          <w:sz w:val="24"/>
        </w:rPr>
        <w:t>Les marchés subséquents se dérouleront en quatre phases</w:t>
      </w:r>
      <w:r w:rsidR="008E0816">
        <w:rPr>
          <w:sz w:val="24"/>
        </w:rPr>
        <w:t>.</w:t>
      </w:r>
    </w:p>
    <w:p w14:paraId="0211407A" w14:textId="6F2D5AF1" w:rsidR="000425DE" w:rsidRDefault="00A11EC6" w:rsidP="00521BDF">
      <w:pPr>
        <w:jc w:val="both"/>
      </w:pPr>
      <w:r>
        <w:rPr>
          <w:sz w:val="24"/>
        </w:rPr>
        <w:t>Sans</w:t>
      </w:r>
      <w:r w:rsidR="00492903">
        <w:rPr>
          <w:sz w:val="24"/>
        </w:rPr>
        <w:t xml:space="preserve"> être exhaustives les prestations incluses dans chacune de ces phases sont notamment les suivantes :</w:t>
      </w:r>
      <w:r w:rsidR="006B730A">
        <w:rPr>
          <w:sz w:val="24"/>
        </w:rPr>
        <w:t xml:space="preserve"> </w:t>
      </w:r>
    </w:p>
    <w:p w14:paraId="6AE336A0" w14:textId="64C3E53B" w:rsidR="000425DE" w:rsidRDefault="00A35A65" w:rsidP="00DE14AD">
      <w:pPr>
        <w:pStyle w:val="Titre3"/>
        <w:numPr>
          <w:ilvl w:val="0"/>
          <w:numId w:val="6"/>
        </w:numPr>
      </w:pPr>
      <w:bookmarkStart w:id="18" w:name="_Toc145312175"/>
      <w:r>
        <w:t xml:space="preserve">Phase n°1 : </w:t>
      </w:r>
      <w:r w:rsidR="005F09D7">
        <w:t>montage</w:t>
      </w:r>
      <w:r w:rsidR="00F4007B">
        <w:t xml:space="preserve"> et structuration de l’opération</w:t>
      </w:r>
      <w:bookmarkEnd w:id="18"/>
      <w:r w:rsidR="000425DE">
        <w:t xml:space="preserve"> </w:t>
      </w:r>
    </w:p>
    <w:p w14:paraId="29B37BB5" w14:textId="77777777" w:rsidR="006101ED" w:rsidRPr="00521BDF" w:rsidRDefault="006101ED" w:rsidP="006101ED">
      <w:pPr>
        <w:jc w:val="both"/>
        <w:rPr>
          <w:sz w:val="24"/>
        </w:rPr>
      </w:pPr>
      <w:r w:rsidRPr="00521BDF">
        <w:rPr>
          <w:sz w:val="24"/>
        </w:rPr>
        <w:t xml:space="preserve">Au titre de cette </w:t>
      </w:r>
      <w:r>
        <w:rPr>
          <w:sz w:val="24"/>
        </w:rPr>
        <w:t>phase</w:t>
      </w:r>
      <w:r w:rsidRPr="00521BDF">
        <w:rPr>
          <w:sz w:val="24"/>
        </w:rPr>
        <w:t xml:space="preserve">, l’attributaire du marché </w:t>
      </w:r>
      <w:r>
        <w:rPr>
          <w:sz w:val="24"/>
        </w:rPr>
        <w:t xml:space="preserve">subséquent aura notamment pour </w:t>
      </w:r>
      <w:r w:rsidRPr="00521BDF">
        <w:rPr>
          <w:sz w:val="24"/>
        </w:rPr>
        <w:t xml:space="preserve">mission : </w:t>
      </w:r>
    </w:p>
    <w:p w14:paraId="101761F8" w14:textId="6A826B92" w:rsidR="00A175D9" w:rsidRDefault="000425DE" w:rsidP="00FF060A">
      <w:pPr>
        <w:pStyle w:val="Paragraphedeliste"/>
        <w:numPr>
          <w:ilvl w:val="1"/>
          <w:numId w:val="5"/>
        </w:numPr>
        <w:spacing w:after="0"/>
        <w:ind w:left="709" w:hanging="283"/>
        <w:jc w:val="both"/>
        <w:rPr>
          <w:sz w:val="24"/>
        </w:rPr>
      </w:pPr>
      <w:r w:rsidRPr="00FF060A">
        <w:rPr>
          <w:sz w:val="24"/>
        </w:rPr>
        <w:t>L’élaboration</w:t>
      </w:r>
      <w:r w:rsidR="00062DA1" w:rsidRPr="00FF060A">
        <w:rPr>
          <w:sz w:val="24"/>
        </w:rPr>
        <w:t xml:space="preserve"> et l’optimisation</w:t>
      </w:r>
      <w:r w:rsidRPr="00FF060A">
        <w:rPr>
          <w:sz w:val="24"/>
        </w:rPr>
        <w:t xml:space="preserve"> du schéma de déf</w:t>
      </w:r>
      <w:r w:rsidR="00062DA1" w:rsidRPr="00FF060A">
        <w:rPr>
          <w:sz w:val="24"/>
        </w:rPr>
        <w:t xml:space="preserve">iscalisation qui sera retenu (199 </w:t>
      </w:r>
      <w:proofErr w:type="spellStart"/>
      <w:r w:rsidR="00062DA1" w:rsidRPr="00FF060A">
        <w:rPr>
          <w:sz w:val="24"/>
        </w:rPr>
        <w:t>undecies</w:t>
      </w:r>
      <w:proofErr w:type="spellEnd"/>
      <w:r w:rsidR="00062DA1" w:rsidRPr="00FF060A">
        <w:rPr>
          <w:sz w:val="24"/>
        </w:rPr>
        <w:t xml:space="preserve"> C</w:t>
      </w:r>
      <w:r w:rsidRPr="00FF060A">
        <w:rPr>
          <w:sz w:val="24"/>
        </w:rPr>
        <w:t xml:space="preserve"> </w:t>
      </w:r>
      <w:r w:rsidR="00062DA1" w:rsidRPr="00FF060A">
        <w:rPr>
          <w:sz w:val="24"/>
        </w:rPr>
        <w:t xml:space="preserve">ou </w:t>
      </w:r>
      <w:r w:rsidR="00545718">
        <w:rPr>
          <w:sz w:val="24"/>
        </w:rPr>
        <w:t>244 quarter Y</w:t>
      </w:r>
      <w:r w:rsidRPr="00FF060A">
        <w:rPr>
          <w:sz w:val="24"/>
        </w:rPr>
        <w:t>)</w:t>
      </w:r>
      <w:r w:rsidR="00A2410B" w:rsidRPr="00FF060A">
        <w:rPr>
          <w:sz w:val="24"/>
        </w:rPr>
        <w:t xml:space="preserve">. </w:t>
      </w:r>
    </w:p>
    <w:p w14:paraId="2698E9A1" w14:textId="2CE2838F" w:rsidR="00A175D9" w:rsidRDefault="00427F0D" w:rsidP="00427F0D">
      <w:pPr>
        <w:spacing w:after="0"/>
        <w:ind w:left="708"/>
        <w:jc w:val="both"/>
        <w:rPr>
          <w:sz w:val="24"/>
        </w:rPr>
      </w:pPr>
      <w:r>
        <w:rPr>
          <w:sz w:val="24"/>
        </w:rPr>
        <w:t xml:space="preserve">Toutes </w:t>
      </w:r>
      <w:r w:rsidR="00A175D9">
        <w:rPr>
          <w:sz w:val="24"/>
        </w:rPr>
        <w:t>modification</w:t>
      </w:r>
      <w:r>
        <w:rPr>
          <w:sz w:val="24"/>
        </w:rPr>
        <w:t>s</w:t>
      </w:r>
      <w:r w:rsidR="00A175D9">
        <w:rPr>
          <w:sz w:val="24"/>
        </w:rPr>
        <w:t xml:space="preserve"> postérieure</w:t>
      </w:r>
      <w:r>
        <w:rPr>
          <w:sz w:val="24"/>
        </w:rPr>
        <w:t>s</w:t>
      </w:r>
      <w:r w:rsidR="00A175D9">
        <w:rPr>
          <w:sz w:val="24"/>
        </w:rPr>
        <w:t xml:space="preserve"> </w:t>
      </w:r>
      <w:r>
        <w:rPr>
          <w:sz w:val="24"/>
        </w:rPr>
        <w:t>au schéma présenté et retenu dans le cadre du critère 3 du RPAO</w:t>
      </w:r>
      <w:r w:rsidR="00D52DBC">
        <w:rPr>
          <w:sz w:val="24"/>
        </w:rPr>
        <w:t xml:space="preserve"> de l’accord cadre</w:t>
      </w:r>
      <w:r>
        <w:rPr>
          <w:sz w:val="24"/>
        </w:rPr>
        <w:t xml:space="preserve"> </w:t>
      </w:r>
      <w:r w:rsidR="00D52DBC">
        <w:rPr>
          <w:sz w:val="24"/>
        </w:rPr>
        <w:t>de</w:t>
      </w:r>
      <w:r w:rsidR="00A175D9">
        <w:rPr>
          <w:sz w:val="24"/>
        </w:rPr>
        <w:t xml:space="preserve"> </w:t>
      </w:r>
      <w:r w:rsidR="00352CDD" w:rsidRPr="00352CDD">
        <w:rPr>
          <w:sz w:val="24"/>
        </w:rPr>
        <w:t xml:space="preserve">quelque </w:t>
      </w:r>
      <w:r w:rsidR="00D52DBC">
        <w:rPr>
          <w:sz w:val="24"/>
        </w:rPr>
        <w:t>nature</w:t>
      </w:r>
      <w:r w:rsidR="00352CDD" w:rsidRPr="00352CDD">
        <w:rPr>
          <w:sz w:val="24"/>
        </w:rPr>
        <w:t xml:space="preserve"> que ce soit </w:t>
      </w:r>
      <w:r>
        <w:rPr>
          <w:sz w:val="24"/>
        </w:rPr>
        <w:t xml:space="preserve">(administratives, </w:t>
      </w:r>
      <w:r w:rsidR="00352CDD">
        <w:rPr>
          <w:sz w:val="24"/>
        </w:rPr>
        <w:t xml:space="preserve">comptables, </w:t>
      </w:r>
      <w:r>
        <w:rPr>
          <w:sz w:val="24"/>
        </w:rPr>
        <w:t xml:space="preserve">fiscales et juridiques) </w:t>
      </w:r>
      <w:r w:rsidR="00A175D9">
        <w:rPr>
          <w:sz w:val="24"/>
        </w:rPr>
        <w:t>ser</w:t>
      </w:r>
      <w:r>
        <w:rPr>
          <w:sz w:val="24"/>
        </w:rPr>
        <w:t>ont</w:t>
      </w:r>
      <w:r w:rsidR="00A175D9">
        <w:rPr>
          <w:sz w:val="24"/>
        </w:rPr>
        <w:t xml:space="preserve"> à l’entière </w:t>
      </w:r>
      <w:r>
        <w:rPr>
          <w:sz w:val="24"/>
        </w:rPr>
        <w:t xml:space="preserve">et unique </w:t>
      </w:r>
      <w:r w:rsidR="00A175D9">
        <w:rPr>
          <w:sz w:val="24"/>
        </w:rPr>
        <w:t>charge de l’attributaire qui s’y engage expressément.</w:t>
      </w:r>
    </w:p>
    <w:p w14:paraId="08DDCA90" w14:textId="153A730A" w:rsidR="00D52DBC" w:rsidRPr="00A175D9" w:rsidRDefault="00D52DBC" w:rsidP="00427F0D">
      <w:pPr>
        <w:spacing w:after="0"/>
        <w:ind w:left="708"/>
        <w:jc w:val="both"/>
        <w:rPr>
          <w:sz w:val="24"/>
        </w:rPr>
      </w:pPr>
      <w:r>
        <w:rPr>
          <w:sz w:val="24"/>
        </w:rPr>
        <w:t>L’attributaire ne sera pas tenu aux conséquences d’un changement de réglementation.</w:t>
      </w:r>
    </w:p>
    <w:p w14:paraId="659DA897" w14:textId="604B0581" w:rsidR="00A2410B" w:rsidRPr="00FF060A" w:rsidRDefault="00A2410B" w:rsidP="004859E1">
      <w:pPr>
        <w:spacing w:after="0"/>
        <w:ind w:left="708"/>
        <w:jc w:val="both"/>
        <w:rPr>
          <w:sz w:val="24"/>
        </w:rPr>
      </w:pPr>
      <w:r w:rsidRPr="00FF060A">
        <w:rPr>
          <w:sz w:val="24"/>
        </w:rPr>
        <w:t>Il est précisé que dans les cas où le montage d’une opération nécessit</w:t>
      </w:r>
      <w:r w:rsidR="00F52469" w:rsidRPr="00FF060A">
        <w:rPr>
          <w:sz w:val="24"/>
        </w:rPr>
        <w:t>er</w:t>
      </w:r>
      <w:r w:rsidRPr="00FF060A">
        <w:rPr>
          <w:sz w:val="24"/>
        </w:rPr>
        <w:t>ait une consultation juridique ou la rédaction d’un rescrit fiscal ces prestations serai</w:t>
      </w:r>
      <w:r w:rsidR="004859E1">
        <w:rPr>
          <w:sz w:val="24"/>
        </w:rPr>
        <w:t>en</w:t>
      </w:r>
      <w:r w:rsidRPr="00FF060A">
        <w:rPr>
          <w:sz w:val="24"/>
        </w:rPr>
        <w:t>t à la charge de l’attributaire</w:t>
      </w:r>
      <w:r w:rsidR="004859E1">
        <w:rPr>
          <w:sz w:val="24"/>
        </w:rPr>
        <w:t>.</w:t>
      </w:r>
    </w:p>
    <w:p w14:paraId="6C59A0E3" w14:textId="77777777" w:rsidR="000425DE" w:rsidRPr="00521BDF" w:rsidRDefault="000425DE" w:rsidP="00DE14AD">
      <w:pPr>
        <w:pStyle w:val="Paragraphedeliste"/>
        <w:numPr>
          <w:ilvl w:val="1"/>
          <w:numId w:val="5"/>
        </w:numPr>
        <w:ind w:left="709" w:hanging="283"/>
        <w:jc w:val="both"/>
        <w:rPr>
          <w:sz w:val="24"/>
        </w:rPr>
      </w:pPr>
      <w:r w:rsidRPr="00521BDF">
        <w:rPr>
          <w:sz w:val="24"/>
        </w:rPr>
        <w:t>La structur</w:t>
      </w:r>
      <w:r w:rsidR="00062DA1">
        <w:rPr>
          <w:sz w:val="24"/>
        </w:rPr>
        <w:t xml:space="preserve">ation financière de l’opération, la détermination et la justification de la base éligible sollicitée </w:t>
      </w:r>
      <w:r w:rsidRPr="00521BDF">
        <w:rPr>
          <w:sz w:val="24"/>
        </w:rPr>
        <w:t xml:space="preserve">; </w:t>
      </w:r>
    </w:p>
    <w:p w14:paraId="457E2438" w14:textId="3DA72B25" w:rsidR="001117AC" w:rsidRDefault="000425DE" w:rsidP="00DE14AD">
      <w:pPr>
        <w:pStyle w:val="Paragraphedeliste"/>
        <w:numPr>
          <w:ilvl w:val="1"/>
          <w:numId w:val="5"/>
        </w:numPr>
        <w:ind w:left="709" w:hanging="283"/>
        <w:jc w:val="both"/>
        <w:rPr>
          <w:sz w:val="24"/>
        </w:rPr>
      </w:pPr>
      <w:r w:rsidRPr="00521BDF">
        <w:rPr>
          <w:sz w:val="24"/>
        </w:rPr>
        <w:t>L’élaboration,</w:t>
      </w:r>
      <w:r w:rsidR="0039362B">
        <w:rPr>
          <w:sz w:val="24"/>
        </w:rPr>
        <w:t xml:space="preserve"> </w:t>
      </w:r>
      <w:r w:rsidRPr="00521BDF">
        <w:rPr>
          <w:sz w:val="24"/>
        </w:rPr>
        <w:t>le</w:t>
      </w:r>
      <w:r w:rsidR="0039362B">
        <w:rPr>
          <w:sz w:val="24"/>
        </w:rPr>
        <w:t xml:space="preserve"> </w:t>
      </w:r>
      <w:r w:rsidRPr="00521BDF">
        <w:rPr>
          <w:sz w:val="24"/>
        </w:rPr>
        <w:t>dépôt,</w:t>
      </w:r>
      <w:r w:rsidR="0039362B">
        <w:rPr>
          <w:sz w:val="24"/>
        </w:rPr>
        <w:t xml:space="preserve"> </w:t>
      </w:r>
      <w:r w:rsidRPr="00521BDF">
        <w:rPr>
          <w:sz w:val="24"/>
        </w:rPr>
        <w:t>l’apport</w:t>
      </w:r>
      <w:r w:rsidR="0039362B">
        <w:rPr>
          <w:sz w:val="24"/>
        </w:rPr>
        <w:t xml:space="preserve"> </w:t>
      </w:r>
      <w:r w:rsidRPr="00521BDF">
        <w:rPr>
          <w:sz w:val="24"/>
        </w:rPr>
        <w:t>de</w:t>
      </w:r>
      <w:r w:rsidR="0039362B">
        <w:rPr>
          <w:sz w:val="24"/>
        </w:rPr>
        <w:t xml:space="preserve"> </w:t>
      </w:r>
      <w:r w:rsidRPr="00521BDF">
        <w:rPr>
          <w:sz w:val="24"/>
        </w:rPr>
        <w:t>compléments</w:t>
      </w:r>
      <w:r w:rsidR="005F09D7">
        <w:rPr>
          <w:sz w:val="24"/>
        </w:rPr>
        <w:t>,</w:t>
      </w:r>
      <w:r w:rsidR="0039362B">
        <w:rPr>
          <w:sz w:val="24"/>
        </w:rPr>
        <w:t xml:space="preserve"> </w:t>
      </w:r>
      <w:r w:rsidRPr="00521BDF">
        <w:rPr>
          <w:sz w:val="24"/>
        </w:rPr>
        <w:t>le</w:t>
      </w:r>
      <w:r w:rsidR="0039362B">
        <w:rPr>
          <w:sz w:val="24"/>
        </w:rPr>
        <w:t xml:space="preserve"> </w:t>
      </w:r>
      <w:r w:rsidRPr="00521BDF">
        <w:rPr>
          <w:sz w:val="24"/>
        </w:rPr>
        <w:t>suivi</w:t>
      </w:r>
      <w:r w:rsidR="0039362B">
        <w:rPr>
          <w:sz w:val="24"/>
        </w:rPr>
        <w:t xml:space="preserve"> </w:t>
      </w:r>
      <w:r w:rsidRPr="00521BDF">
        <w:rPr>
          <w:sz w:val="24"/>
        </w:rPr>
        <w:t>du</w:t>
      </w:r>
      <w:r w:rsidR="0039362B">
        <w:rPr>
          <w:sz w:val="24"/>
        </w:rPr>
        <w:t xml:space="preserve"> </w:t>
      </w:r>
      <w:r w:rsidRPr="00521BDF">
        <w:rPr>
          <w:sz w:val="24"/>
        </w:rPr>
        <w:t>dossier</w:t>
      </w:r>
      <w:r w:rsidR="0039362B">
        <w:rPr>
          <w:sz w:val="24"/>
        </w:rPr>
        <w:t xml:space="preserve"> </w:t>
      </w:r>
      <w:r w:rsidRPr="00521BDF">
        <w:rPr>
          <w:sz w:val="24"/>
        </w:rPr>
        <w:t>de demande d’agrément fiscal</w:t>
      </w:r>
      <w:r w:rsidR="005F09D7">
        <w:rPr>
          <w:sz w:val="24"/>
        </w:rPr>
        <w:t xml:space="preserve"> et l’obtention de la décision</w:t>
      </w:r>
      <w:r w:rsidR="00062DA1">
        <w:rPr>
          <w:sz w:val="24"/>
        </w:rPr>
        <w:t xml:space="preserve"> auprès </w:t>
      </w:r>
      <w:r w:rsidR="00E124B3">
        <w:rPr>
          <w:sz w:val="24"/>
        </w:rPr>
        <w:t>des services compétents ;</w:t>
      </w:r>
    </w:p>
    <w:p w14:paraId="134046A6" w14:textId="4D60E195" w:rsidR="000425DE" w:rsidRDefault="000425DE" w:rsidP="00DE14AD">
      <w:pPr>
        <w:pStyle w:val="Paragraphedeliste"/>
        <w:numPr>
          <w:ilvl w:val="1"/>
          <w:numId w:val="5"/>
        </w:numPr>
        <w:ind w:left="709" w:hanging="283"/>
        <w:jc w:val="both"/>
        <w:rPr>
          <w:sz w:val="24"/>
        </w:rPr>
      </w:pPr>
      <w:r w:rsidRPr="001117AC">
        <w:rPr>
          <w:sz w:val="24"/>
        </w:rPr>
        <w:t>L’</w:t>
      </w:r>
      <w:r w:rsidR="001117AC" w:rsidRPr="001117AC">
        <w:rPr>
          <w:sz w:val="24"/>
        </w:rPr>
        <w:t xml:space="preserve">adaptation de </w:t>
      </w:r>
      <w:r w:rsidRPr="001117AC">
        <w:rPr>
          <w:sz w:val="24"/>
        </w:rPr>
        <w:t>la</w:t>
      </w:r>
      <w:r w:rsidR="0039362B" w:rsidRPr="001117AC">
        <w:rPr>
          <w:sz w:val="24"/>
        </w:rPr>
        <w:t xml:space="preserve"> </w:t>
      </w:r>
      <w:r w:rsidRPr="001117AC">
        <w:rPr>
          <w:sz w:val="24"/>
        </w:rPr>
        <w:t>documentation juridique</w:t>
      </w:r>
      <w:r w:rsidR="0039362B" w:rsidRPr="001117AC">
        <w:rPr>
          <w:sz w:val="24"/>
        </w:rPr>
        <w:t xml:space="preserve"> </w:t>
      </w:r>
      <w:r w:rsidRPr="001117AC">
        <w:rPr>
          <w:sz w:val="24"/>
        </w:rPr>
        <w:t>présentée en annexe 3 du présent accord-cadre, et</w:t>
      </w:r>
      <w:r w:rsidR="00062DA1" w:rsidRPr="001117AC">
        <w:rPr>
          <w:sz w:val="24"/>
        </w:rPr>
        <w:t xml:space="preserve"> adaptée en annexe 3 du marché </w:t>
      </w:r>
      <w:r w:rsidRPr="001117AC">
        <w:rPr>
          <w:sz w:val="24"/>
        </w:rPr>
        <w:t>subséquent,</w:t>
      </w:r>
      <w:r w:rsidR="0039362B" w:rsidRPr="001117AC">
        <w:rPr>
          <w:sz w:val="24"/>
        </w:rPr>
        <w:t xml:space="preserve"> </w:t>
      </w:r>
      <w:r w:rsidRPr="001117AC">
        <w:rPr>
          <w:sz w:val="24"/>
        </w:rPr>
        <w:t>sous</w:t>
      </w:r>
      <w:r w:rsidR="0039362B" w:rsidRPr="001117AC">
        <w:rPr>
          <w:sz w:val="24"/>
        </w:rPr>
        <w:t xml:space="preserve"> </w:t>
      </w:r>
      <w:r w:rsidRPr="001117AC">
        <w:rPr>
          <w:sz w:val="24"/>
        </w:rPr>
        <w:t>réserve</w:t>
      </w:r>
      <w:r w:rsidR="0039362B" w:rsidRPr="001117AC">
        <w:rPr>
          <w:sz w:val="24"/>
        </w:rPr>
        <w:t xml:space="preserve"> </w:t>
      </w:r>
      <w:r w:rsidRPr="001117AC">
        <w:rPr>
          <w:sz w:val="24"/>
        </w:rPr>
        <w:t>des</w:t>
      </w:r>
      <w:r w:rsidR="0039362B" w:rsidRPr="001117AC">
        <w:rPr>
          <w:sz w:val="24"/>
        </w:rPr>
        <w:t xml:space="preserve"> </w:t>
      </w:r>
      <w:r w:rsidRPr="001117AC">
        <w:rPr>
          <w:sz w:val="24"/>
        </w:rPr>
        <w:t>éventuelles</w:t>
      </w:r>
      <w:r w:rsidR="0039362B" w:rsidRPr="001117AC">
        <w:rPr>
          <w:sz w:val="24"/>
        </w:rPr>
        <w:t xml:space="preserve"> </w:t>
      </w:r>
      <w:r w:rsidR="009204DD">
        <w:rPr>
          <w:sz w:val="24"/>
        </w:rPr>
        <w:t>mod</w:t>
      </w:r>
      <w:r w:rsidRPr="001117AC">
        <w:rPr>
          <w:sz w:val="24"/>
        </w:rPr>
        <w:t>ifications</w:t>
      </w:r>
      <w:r w:rsidR="0039362B" w:rsidRPr="001117AC">
        <w:rPr>
          <w:sz w:val="24"/>
        </w:rPr>
        <w:t xml:space="preserve"> </w:t>
      </w:r>
      <w:r w:rsidRPr="001117AC">
        <w:rPr>
          <w:sz w:val="24"/>
        </w:rPr>
        <w:t>que</w:t>
      </w:r>
      <w:r w:rsidR="0039362B" w:rsidRPr="001117AC">
        <w:rPr>
          <w:sz w:val="24"/>
        </w:rPr>
        <w:t xml:space="preserve"> </w:t>
      </w:r>
      <w:r w:rsidRPr="001117AC">
        <w:rPr>
          <w:sz w:val="24"/>
        </w:rPr>
        <w:t>l</w:t>
      </w:r>
      <w:r w:rsidR="00A35A65" w:rsidRPr="001117AC">
        <w:rPr>
          <w:sz w:val="24"/>
        </w:rPr>
        <w:t>e</w:t>
      </w:r>
      <w:r w:rsidR="0039362B" w:rsidRPr="001117AC">
        <w:rPr>
          <w:sz w:val="24"/>
        </w:rPr>
        <w:t xml:space="preserve"> </w:t>
      </w:r>
      <w:r w:rsidR="00A35A65" w:rsidRPr="001117AC">
        <w:rPr>
          <w:sz w:val="24"/>
        </w:rPr>
        <w:t xml:space="preserve">FCH </w:t>
      </w:r>
      <w:r w:rsidRPr="001117AC">
        <w:rPr>
          <w:sz w:val="24"/>
        </w:rPr>
        <w:t>se</w:t>
      </w:r>
      <w:r w:rsidR="0039362B" w:rsidRPr="001117AC">
        <w:rPr>
          <w:sz w:val="24"/>
        </w:rPr>
        <w:t xml:space="preserve"> </w:t>
      </w:r>
      <w:r w:rsidRPr="001117AC">
        <w:rPr>
          <w:sz w:val="24"/>
        </w:rPr>
        <w:t>réserve</w:t>
      </w:r>
      <w:r w:rsidR="0039362B" w:rsidRPr="001117AC">
        <w:rPr>
          <w:sz w:val="24"/>
        </w:rPr>
        <w:t xml:space="preserve"> </w:t>
      </w:r>
      <w:r w:rsidR="00062DA1" w:rsidRPr="001117AC">
        <w:rPr>
          <w:sz w:val="24"/>
        </w:rPr>
        <w:t xml:space="preserve">d’y </w:t>
      </w:r>
      <w:r w:rsidRPr="001117AC">
        <w:rPr>
          <w:sz w:val="24"/>
        </w:rPr>
        <w:t>apporter en cours d’exécution de l’accord-cadre ou du m</w:t>
      </w:r>
      <w:r w:rsidR="008F51B5">
        <w:rPr>
          <w:sz w:val="24"/>
        </w:rPr>
        <w:t>arché ;</w:t>
      </w:r>
      <w:r w:rsidRPr="001117AC">
        <w:rPr>
          <w:sz w:val="24"/>
        </w:rPr>
        <w:t xml:space="preserve"> </w:t>
      </w:r>
    </w:p>
    <w:p w14:paraId="23E2FAAA" w14:textId="6718E01B" w:rsidR="008F51B5" w:rsidRPr="001117AC" w:rsidRDefault="008F51B5" w:rsidP="00DE14AD">
      <w:pPr>
        <w:pStyle w:val="Paragraphedeliste"/>
        <w:numPr>
          <w:ilvl w:val="1"/>
          <w:numId w:val="5"/>
        </w:numPr>
        <w:ind w:left="709" w:hanging="283"/>
        <w:jc w:val="both"/>
        <w:rPr>
          <w:sz w:val="24"/>
        </w:rPr>
      </w:pPr>
      <w:r>
        <w:rPr>
          <w:sz w:val="24"/>
        </w:rPr>
        <w:t xml:space="preserve">La coordination des intervenants lors de la phase </w:t>
      </w:r>
      <w:r w:rsidR="005F09D7">
        <w:rPr>
          <w:sz w:val="24"/>
        </w:rPr>
        <w:t>de montage</w:t>
      </w:r>
      <w:r>
        <w:rPr>
          <w:sz w:val="24"/>
        </w:rPr>
        <w:t xml:space="preserve"> (Direction des Services Fiscaux, Notaires …) </w:t>
      </w:r>
    </w:p>
    <w:p w14:paraId="55B7139D" w14:textId="77777777" w:rsidR="000425DE" w:rsidRPr="00521BDF" w:rsidRDefault="00A35A65" w:rsidP="00DE14AD">
      <w:pPr>
        <w:pStyle w:val="Titre3"/>
        <w:numPr>
          <w:ilvl w:val="0"/>
          <w:numId w:val="6"/>
        </w:numPr>
      </w:pPr>
      <w:bookmarkStart w:id="19" w:name="_Toc145312176"/>
      <w:r>
        <w:t>P</w:t>
      </w:r>
      <w:r w:rsidR="000425DE" w:rsidRPr="00521BDF">
        <w:t xml:space="preserve">hase n°2 : </w:t>
      </w:r>
      <w:r w:rsidR="00F4007B">
        <w:t xml:space="preserve">syndication et </w:t>
      </w:r>
      <w:r w:rsidR="000425DE" w:rsidRPr="00521BDF">
        <w:t>placement de l’opération</w:t>
      </w:r>
      <w:bookmarkEnd w:id="19"/>
      <w:r w:rsidR="000425DE" w:rsidRPr="00521BDF">
        <w:t xml:space="preserve"> </w:t>
      </w:r>
    </w:p>
    <w:p w14:paraId="6B784F4A" w14:textId="77777777" w:rsidR="006101ED" w:rsidRPr="00521BDF" w:rsidRDefault="006101ED" w:rsidP="006101ED">
      <w:pPr>
        <w:jc w:val="both"/>
        <w:rPr>
          <w:sz w:val="24"/>
        </w:rPr>
      </w:pPr>
      <w:r w:rsidRPr="00521BDF">
        <w:rPr>
          <w:sz w:val="24"/>
        </w:rPr>
        <w:t xml:space="preserve">Au titre de cette </w:t>
      </w:r>
      <w:r>
        <w:rPr>
          <w:sz w:val="24"/>
        </w:rPr>
        <w:t>phase</w:t>
      </w:r>
      <w:r w:rsidRPr="00521BDF">
        <w:rPr>
          <w:sz w:val="24"/>
        </w:rPr>
        <w:t xml:space="preserve">, l’attributaire du marché </w:t>
      </w:r>
      <w:r>
        <w:rPr>
          <w:sz w:val="24"/>
        </w:rPr>
        <w:t xml:space="preserve">subséquent aura notamment pour </w:t>
      </w:r>
      <w:r w:rsidRPr="00521BDF">
        <w:rPr>
          <w:sz w:val="24"/>
        </w:rPr>
        <w:t xml:space="preserve">mission : </w:t>
      </w:r>
    </w:p>
    <w:p w14:paraId="0186C13F" w14:textId="77777777" w:rsidR="008F51B5" w:rsidRDefault="000425DE" w:rsidP="00DE14AD">
      <w:pPr>
        <w:pStyle w:val="Paragraphedeliste"/>
        <w:numPr>
          <w:ilvl w:val="1"/>
          <w:numId w:val="5"/>
        </w:numPr>
        <w:ind w:left="709" w:hanging="283"/>
        <w:jc w:val="both"/>
        <w:rPr>
          <w:sz w:val="24"/>
        </w:rPr>
      </w:pPr>
      <w:r w:rsidRPr="00A35A65">
        <w:rPr>
          <w:sz w:val="24"/>
        </w:rPr>
        <w:t>La création de la structure de portage</w:t>
      </w:r>
      <w:r w:rsidR="008F51B5">
        <w:rPr>
          <w:sz w:val="24"/>
        </w:rPr>
        <w:t> ;</w:t>
      </w:r>
    </w:p>
    <w:p w14:paraId="64699709" w14:textId="0D74E23C" w:rsidR="00A11EC6" w:rsidRDefault="00A11EC6" w:rsidP="00DE14AD">
      <w:pPr>
        <w:pStyle w:val="Paragraphedeliste"/>
        <w:numPr>
          <w:ilvl w:val="1"/>
          <w:numId w:val="5"/>
        </w:numPr>
        <w:ind w:left="709" w:hanging="283"/>
        <w:jc w:val="both"/>
        <w:rPr>
          <w:sz w:val="24"/>
        </w:rPr>
      </w:pPr>
      <w:r>
        <w:rPr>
          <w:sz w:val="24"/>
        </w:rPr>
        <w:t>La procédure d’offre au public de titres financiers ;</w:t>
      </w:r>
    </w:p>
    <w:p w14:paraId="29B04F00" w14:textId="77777777" w:rsidR="008F51B5" w:rsidRDefault="008F51B5" w:rsidP="00DE14AD">
      <w:pPr>
        <w:pStyle w:val="Paragraphedeliste"/>
        <w:numPr>
          <w:ilvl w:val="1"/>
          <w:numId w:val="5"/>
        </w:numPr>
        <w:ind w:left="709" w:hanging="283"/>
        <w:jc w:val="both"/>
        <w:rPr>
          <w:sz w:val="24"/>
        </w:rPr>
      </w:pPr>
      <w:r>
        <w:rPr>
          <w:sz w:val="24"/>
        </w:rPr>
        <w:lastRenderedPageBreak/>
        <w:t>La syndication des opérations auprès des investisseurs métropolitains ;</w:t>
      </w:r>
    </w:p>
    <w:p w14:paraId="6BD386EB" w14:textId="77777777" w:rsidR="008F51B5" w:rsidRDefault="008F51B5" w:rsidP="00DE14AD">
      <w:pPr>
        <w:pStyle w:val="Paragraphedeliste"/>
        <w:numPr>
          <w:ilvl w:val="1"/>
          <w:numId w:val="5"/>
        </w:numPr>
        <w:ind w:left="709" w:hanging="283"/>
        <w:jc w:val="both"/>
        <w:rPr>
          <w:sz w:val="24"/>
        </w:rPr>
      </w:pPr>
      <w:r>
        <w:rPr>
          <w:sz w:val="24"/>
        </w:rPr>
        <w:t>L’augmentation de capital sous-jacente ;</w:t>
      </w:r>
    </w:p>
    <w:p w14:paraId="2CEBDB7F" w14:textId="77777777" w:rsidR="000425DE" w:rsidRPr="00A35A65" w:rsidRDefault="008F51B5" w:rsidP="00DE14AD">
      <w:pPr>
        <w:pStyle w:val="Paragraphedeliste"/>
        <w:numPr>
          <w:ilvl w:val="1"/>
          <w:numId w:val="5"/>
        </w:numPr>
        <w:ind w:left="709" w:hanging="283"/>
        <w:jc w:val="both"/>
        <w:rPr>
          <w:sz w:val="24"/>
        </w:rPr>
      </w:pPr>
      <w:r>
        <w:rPr>
          <w:sz w:val="24"/>
        </w:rPr>
        <w:t>La justification et le versement des fonds au FCH</w:t>
      </w:r>
      <w:r w:rsidR="00F52469">
        <w:rPr>
          <w:sz w:val="24"/>
        </w:rPr>
        <w:t> ;</w:t>
      </w:r>
    </w:p>
    <w:p w14:paraId="6F506B94" w14:textId="77777777" w:rsidR="008F51B5" w:rsidRPr="001117AC" w:rsidRDefault="008F51B5" w:rsidP="00DE14AD">
      <w:pPr>
        <w:pStyle w:val="Paragraphedeliste"/>
        <w:numPr>
          <w:ilvl w:val="1"/>
          <w:numId w:val="5"/>
        </w:numPr>
        <w:ind w:left="709" w:hanging="283"/>
        <w:jc w:val="both"/>
        <w:rPr>
          <w:sz w:val="24"/>
        </w:rPr>
      </w:pPr>
      <w:r>
        <w:rPr>
          <w:sz w:val="24"/>
        </w:rPr>
        <w:t>La coordination des intervenants lors de la phase de placement (</w:t>
      </w:r>
      <w:r w:rsidR="006101ED">
        <w:rPr>
          <w:sz w:val="24"/>
        </w:rPr>
        <w:t xml:space="preserve">investisseurs, </w:t>
      </w:r>
      <w:r>
        <w:rPr>
          <w:sz w:val="24"/>
        </w:rPr>
        <w:t xml:space="preserve">réseaux de placement …) </w:t>
      </w:r>
    </w:p>
    <w:p w14:paraId="481E0B2F" w14:textId="77777777" w:rsidR="006101ED" w:rsidRDefault="006101ED" w:rsidP="00DE14AD">
      <w:pPr>
        <w:pStyle w:val="Titre3"/>
        <w:numPr>
          <w:ilvl w:val="0"/>
          <w:numId w:val="6"/>
        </w:numPr>
      </w:pPr>
      <w:bookmarkStart w:id="20" w:name="_Toc145312177"/>
      <w:r>
        <w:t>P</w:t>
      </w:r>
      <w:r w:rsidRPr="00521BDF">
        <w:t>hase n°</w:t>
      </w:r>
      <w:r>
        <w:t>3</w:t>
      </w:r>
      <w:r w:rsidRPr="00521BDF">
        <w:t xml:space="preserve"> : </w:t>
      </w:r>
      <w:r>
        <w:t xml:space="preserve">gestion de la structure de portage et </w:t>
      </w:r>
      <w:r w:rsidR="00F4007B">
        <w:t xml:space="preserve">suivi </w:t>
      </w:r>
      <w:r>
        <w:t>des relations avec les investisseurs métropolitains</w:t>
      </w:r>
      <w:bookmarkEnd w:id="20"/>
    </w:p>
    <w:p w14:paraId="439FF1B3" w14:textId="77777777" w:rsidR="006101ED" w:rsidRPr="00521BDF" w:rsidRDefault="006101ED" w:rsidP="006101ED">
      <w:pPr>
        <w:jc w:val="both"/>
        <w:rPr>
          <w:sz w:val="24"/>
        </w:rPr>
      </w:pPr>
      <w:r w:rsidRPr="00521BDF">
        <w:rPr>
          <w:sz w:val="24"/>
        </w:rPr>
        <w:t xml:space="preserve">Au titre de cette </w:t>
      </w:r>
      <w:r>
        <w:rPr>
          <w:sz w:val="24"/>
        </w:rPr>
        <w:t>phase</w:t>
      </w:r>
      <w:r w:rsidRPr="00521BDF">
        <w:rPr>
          <w:sz w:val="24"/>
        </w:rPr>
        <w:t xml:space="preserve">, l’attributaire du marché </w:t>
      </w:r>
      <w:r>
        <w:rPr>
          <w:sz w:val="24"/>
        </w:rPr>
        <w:t xml:space="preserve">subséquent aura notamment pour </w:t>
      </w:r>
      <w:r w:rsidRPr="00521BDF">
        <w:rPr>
          <w:sz w:val="24"/>
        </w:rPr>
        <w:t xml:space="preserve">mission : </w:t>
      </w:r>
    </w:p>
    <w:p w14:paraId="6A0841E2" w14:textId="77777777" w:rsidR="006101ED" w:rsidRDefault="006101ED" w:rsidP="00DE14AD">
      <w:pPr>
        <w:pStyle w:val="Paragraphedeliste"/>
        <w:numPr>
          <w:ilvl w:val="1"/>
          <w:numId w:val="5"/>
        </w:numPr>
        <w:ind w:left="709" w:hanging="283"/>
        <w:jc w:val="both"/>
        <w:rPr>
          <w:sz w:val="24"/>
        </w:rPr>
      </w:pPr>
      <w:r>
        <w:rPr>
          <w:sz w:val="24"/>
        </w:rPr>
        <w:t>La supervision de la reddition des comptes à l’achèvement du programme de construction ;</w:t>
      </w:r>
    </w:p>
    <w:p w14:paraId="59D45D7B" w14:textId="77777777" w:rsidR="006101ED" w:rsidRDefault="006101ED" w:rsidP="00DE14AD">
      <w:pPr>
        <w:pStyle w:val="Paragraphedeliste"/>
        <w:numPr>
          <w:ilvl w:val="1"/>
          <w:numId w:val="5"/>
        </w:numPr>
        <w:ind w:left="709" w:hanging="283"/>
        <w:jc w:val="both"/>
        <w:rPr>
          <w:sz w:val="24"/>
        </w:rPr>
      </w:pPr>
      <w:r w:rsidRPr="00A35A65">
        <w:rPr>
          <w:sz w:val="24"/>
        </w:rPr>
        <w:t xml:space="preserve">La gestion </w:t>
      </w:r>
      <w:r>
        <w:rPr>
          <w:sz w:val="24"/>
        </w:rPr>
        <w:t xml:space="preserve">comptable, financière et juridique </w:t>
      </w:r>
      <w:r w:rsidRPr="00A35A65">
        <w:rPr>
          <w:sz w:val="24"/>
        </w:rPr>
        <w:t>de la structure de portage</w:t>
      </w:r>
      <w:r>
        <w:rPr>
          <w:sz w:val="24"/>
        </w:rPr>
        <w:t xml:space="preserve"> jusqu’au terme de l’opération de défiscalisation ;</w:t>
      </w:r>
    </w:p>
    <w:p w14:paraId="4313247B" w14:textId="77777777" w:rsidR="006101ED" w:rsidRDefault="006101ED" w:rsidP="00DE14AD">
      <w:pPr>
        <w:pStyle w:val="Paragraphedeliste"/>
        <w:numPr>
          <w:ilvl w:val="1"/>
          <w:numId w:val="5"/>
        </w:numPr>
        <w:ind w:left="709" w:hanging="283"/>
        <w:jc w:val="both"/>
        <w:rPr>
          <w:sz w:val="24"/>
        </w:rPr>
      </w:pPr>
      <w:r>
        <w:rPr>
          <w:sz w:val="24"/>
        </w:rPr>
        <w:t>Le suivi des investisseurs métropolitains jusqu’au terme de la défiscalisation</w:t>
      </w:r>
      <w:r w:rsidR="00A05364">
        <w:rPr>
          <w:sz w:val="24"/>
        </w:rPr>
        <w:t xml:space="preserve"> (élaboration des déclarations fiscales, interface avec l’administration fiscale en cas de contrôle ou de quelconque demande</w:t>
      </w:r>
      <w:r w:rsidR="00F6421C">
        <w:rPr>
          <w:sz w:val="24"/>
        </w:rPr>
        <w:t>, gestion des cas de décès ou de changements de statuts matrimoniaux …)</w:t>
      </w:r>
      <w:r>
        <w:rPr>
          <w:sz w:val="24"/>
        </w:rPr>
        <w:t xml:space="preserve"> </w:t>
      </w:r>
    </w:p>
    <w:p w14:paraId="506B52A2" w14:textId="77777777" w:rsidR="00A05364" w:rsidRDefault="00A05364" w:rsidP="00DE14AD">
      <w:pPr>
        <w:pStyle w:val="Titre3"/>
        <w:numPr>
          <w:ilvl w:val="0"/>
          <w:numId w:val="6"/>
        </w:numPr>
      </w:pPr>
      <w:bookmarkStart w:id="21" w:name="_Toc145312178"/>
      <w:r>
        <w:t>P</w:t>
      </w:r>
      <w:r w:rsidRPr="00521BDF">
        <w:t>hase n°</w:t>
      </w:r>
      <w:r>
        <w:t>4</w:t>
      </w:r>
      <w:r w:rsidRPr="00521BDF">
        <w:t xml:space="preserve"> : </w:t>
      </w:r>
      <w:r>
        <w:t>débouclage de l’opération</w:t>
      </w:r>
      <w:bookmarkEnd w:id="21"/>
      <w:r>
        <w:t xml:space="preserve"> </w:t>
      </w:r>
    </w:p>
    <w:p w14:paraId="404DE36C" w14:textId="77777777" w:rsidR="00F6421C" w:rsidRPr="00521BDF" w:rsidRDefault="00F6421C" w:rsidP="00F6421C">
      <w:pPr>
        <w:jc w:val="both"/>
        <w:rPr>
          <w:sz w:val="24"/>
        </w:rPr>
      </w:pPr>
      <w:r w:rsidRPr="00521BDF">
        <w:rPr>
          <w:sz w:val="24"/>
        </w:rPr>
        <w:t xml:space="preserve">Au titre de cette </w:t>
      </w:r>
      <w:r>
        <w:rPr>
          <w:sz w:val="24"/>
        </w:rPr>
        <w:t>phase</w:t>
      </w:r>
      <w:r w:rsidRPr="00521BDF">
        <w:rPr>
          <w:sz w:val="24"/>
        </w:rPr>
        <w:t xml:space="preserve">, l’attributaire du marché </w:t>
      </w:r>
      <w:r>
        <w:rPr>
          <w:sz w:val="24"/>
        </w:rPr>
        <w:t xml:space="preserve">subséquent aura notamment pour </w:t>
      </w:r>
      <w:r w:rsidRPr="00521BDF">
        <w:rPr>
          <w:sz w:val="24"/>
        </w:rPr>
        <w:t xml:space="preserve">mission : </w:t>
      </w:r>
    </w:p>
    <w:p w14:paraId="071A8685" w14:textId="77777777" w:rsidR="00F6421C" w:rsidRPr="00F6421C" w:rsidRDefault="00F6421C" w:rsidP="00DE14AD">
      <w:pPr>
        <w:pStyle w:val="Paragraphedeliste"/>
        <w:numPr>
          <w:ilvl w:val="1"/>
          <w:numId w:val="5"/>
        </w:numPr>
        <w:ind w:left="709" w:hanging="283"/>
        <w:jc w:val="both"/>
        <w:rPr>
          <w:sz w:val="24"/>
        </w:rPr>
      </w:pPr>
      <w:r w:rsidRPr="00521BDF">
        <w:rPr>
          <w:sz w:val="24"/>
        </w:rPr>
        <w:t>L’</w:t>
      </w:r>
      <w:r>
        <w:rPr>
          <w:sz w:val="24"/>
        </w:rPr>
        <w:t>optimisation</w:t>
      </w:r>
      <w:r w:rsidRPr="00521BDF">
        <w:rPr>
          <w:sz w:val="24"/>
        </w:rPr>
        <w:t xml:space="preserve"> du schéma de </w:t>
      </w:r>
      <w:r>
        <w:rPr>
          <w:sz w:val="24"/>
        </w:rPr>
        <w:t xml:space="preserve">sortie </w:t>
      </w:r>
      <w:r w:rsidRPr="00521BDF">
        <w:rPr>
          <w:sz w:val="24"/>
        </w:rPr>
        <w:t>déf</w:t>
      </w:r>
      <w:r>
        <w:rPr>
          <w:sz w:val="24"/>
        </w:rPr>
        <w:t xml:space="preserve">iscalisation (sortie par rachat de la structure de portage ou par rachat de l’actif) </w:t>
      </w:r>
      <w:r w:rsidRPr="00521BDF">
        <w:rPr>
          <w:sz w:val="24"/>
        </w:rPr>
        <w:t xml:space="preserve">; </w:t>
      </w:r>
    </w:p>
    <w:p w14:paraId="1FA75F74" w14:textId="77777777" w:rsidR="00F6421C" w:rsidRPr="00F6421C" w:rsidRDefault="00F6421C" w:rsidP="00DE14AD">
      <w:pPr>
        <w:pStyle w:val="Paragraphedeliste"/>
        <w:numPr>
          <w:ilvl w:val="1"/>
          <w:numId w:val="5"/>
        </w:numPr>
        <w:ind w:left="709" w:hanging="283"/>
        <w:jc w:val="both"/>
        <w:rPr>
          <w:sz w:val="24"/>
        </w:rPr>
      </w:pPr>
      <w:r>
        <w:rPr>
          <w:sz w:val="24"/>
        </w:rPr>
        <w:t>L’élaboration d’une procédure de sortie avec rétro-planning de l’ensemble des opérations à effectuer ;</w:t>
      </w:r>
    </w:p>
    <w:p w14:paraId="7305B563" w14:textId="77777777" w:rsidR="006101ED" w:rsidRPr="00F6421C" w:rsidRDefault="00F6421C" w:rsidP="00DE14AD">
      <w:pPr>
        <w:pStyle w:val="Paragraphedeliste"/>
        <w:numPr>
          <w:ilvl w:val="1"/>
          <w:numId w:val="5"/>
        </w:numPr>
        <w:ind w:left="709" w:hanging="283"/>
        <w:jc w:val="both"/>
        <w:rPr>
          <w:sz w:val="24"/>
        </w:rPr>
      </w:pPr>
      <w:r>
        <w:rPr>
          <w:sz w:val="24"/>
        </w:rPr>
        <w:t>La mise en œuvre de l’ensemble des démarches nécessaires à la récupération de l’actif par le FCH qu’il s’agisse d’une sortie par rachat de la structure de portage ou par rachat de l’actif.</w:t>
      </w:r>
    </w:p>
    <w:p w14:paraId="3D0C8569" w14:textId="77777777" w:rsidR="000425DE" w:rsidRPr="00521BDF" w:rsidRDefault="000425DE" w:rsidP="00DE14AD">
      <w:pPr>
        <w:pStyle w:val="Titre3"/>
        <w:numPr>
          <w:ilvl w:val="0"/>
          <w:numId w:val="6"/>
        </w:numPr>
      </w:pPr>
      <w:bookmarkStart w:id="22" w:name="_Toc145312179"/>
      <w:r w:rsidRPr="00521BDF">
        <w:t>Réunions</w:t>
      </w:r>
      <w:bookmarkEnd w:id="22"/>
      <w:r w:rsidRPr="00521BDF">
        <w:t xml:space="preserve"> </w:t>
      </w:r>
    </w:p>
    <w:p w14:paraId="2466DD18" w14:textId="77777777" w:rsidR="00F52469" w:rsidRDefault="000425DE" w:rsidP="00A35A65">
      <w:pPr>
        <w:jc w:val="both"/>
        <w:rPr>
          <w:sz w:val="24"/>
        </w:rPr>
      </w:pPr>
      <w:r w:rsidRPr="00521BDF">
        <w:rPr>
          <w:sz w:val="24"/>
        </w:rPr>
        <w:t>L’attributaire</w:t>
      </w:r>
      <w:r w:rsidR="0039362B">
        <w:rPr>
          <w:sz w:val="24"/>
        </w:rPr>
        <w:t xml:space="preserve"> </w:t>
      </w:r>
      <w:r w:rsidRPr="00521BDF">
        <w:rPr>
          <w:sz w:val="24"/>
        </w:rPr>
        <w:t>d’un</w:t>
      </w:r>
      <w:r w:rsidR="0039362B">
        <w:rPr>
          <w:sz w:val="24"/>
        </w:rPr>
        <w:t xml:space="preserve"> </w:t>
      </w:r>
      <w:r w:rsidRPr="00521BDF">
        <w:rPr>
          <w:sz w:val="24"/>
        </w:rPr>
        <w:t>marché</w:t>
      </w:r>
      <w:r w:rsidR="0039362B">
        <w:rPr>
          <w:sz w:val="24"/>
        </w:rPr>
        <w:t xml:space="preserve"> </w:t>
      </w:r>
      <w:r w:rsidRPr="00521BDF">
        <w:rPr>
          <w:sz w:val="24"/>
        </w:rPr>
        <w:t>subséquent</w:t>
      </w:r>
      <w:r w:rsidR="0039362B">
        <w:rPr>
          <w:sz w:val="24"/>
        </w:rPr>
        <w:t xml:space="preserve"> </w:t>
      </w:r>
      <w:r w:rsidRPr="00521BDF">
        <w:rPr>
          <w:sz w:val="24"/>
        </w:rPr>
        <w:t>participe</w:t>
      </w:r>
      <w:r w:rsidR="0039362B">
        <w:rPr>
          <w:sz w:val="24"/>
        </w:rPr>
        <w:t xml:space="preserve"> </w:t>
      </w:r>
      <w:r w:rsidRPr="00521BDF">
        <w:rPr>
          <w:sz w:val="24"/>
        </w:rPr>
        <w:t>à</w:t>
      </w:r>
      <w:r w:rsidR="0039362B">
        <w:rPr>
          <w:sz w:val="24"/>
        </w:rPr>
        <w:t xml:space="preserve"> </w:t>
      </w:r>
      <w:r w:rsidRPr="00521BDF">
        <w:rPr>
          <w:sz w:val="24"/>
        </w:rPr>
        <w:t>toutes</w:t>
      </w:r>
      <w:r w:rsidR="0039362B">
        <w:rPr>
          <w:sz w:val="24"/>
        </w:rPr>
        <w:t xml:space="preserve"> </w:t>
      </w:r>
      <w:r w:rsidRPr="00521BDF">
        <w:rPr>
          <w:sz w:val="24"/>
        </w:rPr>
        <w:t>les</w:t>
      </w:r>
      <w:r w:rsidR="0039362B">
        <w:rPr>
          <w:sz w:val="24"/>
        </w:rPr>
        <w:t xml:space="preserve"> </w:t>
      </w:r>
      <w:r w:rsidRPr="00521BDF">
        <w:rPr>
          <w:sz w:val="24"/>
        </w:rPr>
        <w:t>réunions</w:t>
      </w:r>
      <w:r w:rsidR="0039362B">
        <w:rPr>
          <w:sz w:val="24"/>
        </w:rPr>
        <w:t xml:space="preserve"> </w:t>
      </w:r>
      <w:r w:rsidRPr="00521BDF">
        <w:rPr>
          <w:sz w:val="24"/>
        </w:rPr>
        <w:t>nécessaires</w:t>
      </w:r>
      <w:r w:rsidR="0039362B">
        <w:rPr>
          <w:sz w:val="24"/>
        </w:rPr>
        <w:t xml:space="preserve"> </w:t>
      </w:r>
      <w:r w:rsidR="00F6421C">
        <w:rPr>
          <w:sz w:val="24"/>
        </w:rPr>
        <w:t xml:space="preserve">au </w:t>
      </w:r>
      <w:r w:rsidRPr="00521BDF">
        <w:rPr>
          <w:sz w:val="24"/>
        </w:rPr>
        <w:t>bon déroulement de l’opération de défiscalisation, aussi bien à celles auxquelles il s’est</w:t>
      </w:r>
      <w:r w:rsidR="00F6421C">
        <w:rPr>
          <w:sz w:val="24"/>
        </w:rPr>
        <w:t xml:space="preserve"> </w:t>
      </w:r>
      <w:r w:rsidRPr="00521BDF">
        <w:rPr>
          <w:sz w:val="24"/>
        </w:rPr>
        <w:t>engagé dans son offre, qu’à celles auxquelles l</w:t>
      </w:r>
      <w:r w:rsidR="00F6421C">
        <w:rPr>
          <w:sz w:val="24"/>
        </w:rPr>
        <w:t>e FCH</w:t>
      </w:r>
      <w:r w:rsidRPr="00521BDF">
        <w:rPr>
          <w:sz w:val="24"/>
        </w:rPr>
        <w:t xml:space="preserve"> lui demande</w:t>
      </w:r>
      <w:r w:rsidR="00F6421C">
        <w:rPr>
          <w:sz w:val="24"/>
        </w:rPr>
        <w:t xml:space="preserve">ra de participer au titre </w:t>
      </w:r>
      <w:r w:rsidRPr="00521BDF">
        <w:rPr>
          <w:sz w:val="24"/>
        </w:rPr>
        <w:t>du présent accord-cadre et des marchés subséquents.</w:t>
      </w:r>
      <w:r w:rsidR="0098360C">
        <w:rPr>
          <w:sz w:val="24"/>
        </w:rPr>
        <w:t xml:space="preserve"> </w:t>
      </w:r>
    </w:p>
    <w:p w14:paraId="193CB44B" w14:textId="77777777" w:rsidR="001A032E" w:rsidRPr="00521BDF" w:rsidRDefault="000425DE" w:rsidP="00A35A65">
      <w:pPr>
        <w:jc w:val="both"/>
        <w:rPr>
          <w:sz w:val="24"/>
        </w:rPr>
      </w:pPr>
      <w:r w:rsidRPr="00521BDF">
        <w:rPr>
          <w:sz w:val="24"/>
        </w:rPr>
        <w:t>Les réunions f</w:t>
      </w:r>
      <w:r w:rsidR="00DC6813">
        <w:rPr>
          <w:sz w:val="24"/>
        </w:rPr>
        <w:t>er</w:t>
      </w:r>
      <w:r w:rsidRPr="00521BDF">
        <w:rPr>
          <w:sz w:val="24"/>
        </w:rPr>
        <w:t>ont l’objet d’une convocation d</w:t>
      </w:r>
      <w:r w:rsidR="00DC6813">
        <w:rPr>
          <w:sz w:val="24"/>
        </w:rPr>
        <w:t>u</w:t>
      </w:r>
      <w:r w:rsidRPr="00521BDF">
        <w:rPr>
          <w:sz w:val="24"/>
        </w:rPr>
        <w:t xml:space="preserve"> </w:t>
      </w:r>
      <w:r w:rsidR="00F6421C">
        <w:rPr>
          <w:sz w:val="24"/>
        </w:rPr>
        <w:t>FCH</w:t>
      </w:r>
      <w:r w:rsidRPr="00521BDF">
        <w:rPr>
          <w:sz w:val="24"/>
        </w:rPr>
        <w:t>, notif</w:t>
      </w:r>
      <w:r w:rsidR="00F6421C">
        <w:rPr>
          <w:sz w:val="24"/>
        </w:rPr>
        <w:t xml:space="preserve">iée à </w:t>
      </w:r>
      <w:r w:rsidRPr="00521BDF">
        <w:rPr>
          <w:sz w:val="24"/>
        </w:rPr>
        <w:t>l’attributaire</w:t>
      </w:r>
      <w:r w:rsidR="00F6421C">
        <w:rPr>
          <w:sz w:val="24"/>
        </w:rPr>
        <w:t xml:space="preserve"> par tout moyen à sa convenance</w:t>
      </w:r>
      <w:r w:rsidRPr="00521BDF">
        <w:rPr>
          <w:sz w:val="24"/>
        </w:rPr>
        <w:t>.</w:t>
      </w:r>
    </w:p>
    <w:p w14:paraId="48DD5B2A" w14:textId="0B126F8C" w:rsidR="004B165C" w:rsidRDefault="004B165C">
      <w:pPr>
        <w:rPr>
          <w:sz w:val="24"/>
        </w:rPr>
      </w:pPr>
      <w:r>
        <w:rPr>
          <w:sz w:val="24"/>
        </w:rPr>
        <w:br w:type="page"/>
      </w:r>
    </w:p>
    <w:p w14:paraId="6EFF43C1" w14:textId="77777777" w:rsidR="003D6A69" w:rsidRDefault="003D6A69" w:rsidP="005852FA">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23" w:name="_Toc145312180"/>
      <w:r>
        <w:rPr>
          <w:bCs w:val="0"/>
          <w:color w:val="17365D" w:themeColor="text2" w:themeShade="BF"/>
          <w:spacing w:val="5"/>
          <w:kern w:val="28"/>
          <w:sz w:val="28"/>
          <w:szCs w:val="52"/>
        </w:rPr>
        <w:lastRenderedPageBreak/>
        <w:t>Article</w:t>
      </w:r>
      <w:r w:rsidR="000425DE" w:rsidRPr="005852FA">
        <w:rPr>
          <w:bCs w:val="0"/>
          <w:color w:val="17365D" w:themeColor="text2" w:themeShade="BF"/>
          <w:spacing w:val="5"/>
          <w:kern w:val="28"/>
          <w:sz w:val="28"/>
          <w:szCs w:val="52"/>
        </w:rPr>
        <w:t xml:space="preserve"> </w:t>
      </w:r>
      <w:r w:rsidR="006408CE">
        <w:rPr>
          <w:bCs w:val="0"/>
          <w:color w:val="17365D" w:themeColor="text2" w:themeShade="BF"/>
          <w:spacing w:val="5"/>
          <w:kern w:val="28"/>
          <w:sz w:val="28"/>
          <w:szCs w:val="52"/>
        </w:rPr>
        <w:t>8</w:t>
      </w:r>
      <w:r w:rsid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w:t>
      </w:r>
      <w:r w:rsidR="000425DE" w:rsidRPr="005852FA">
        <w:rPr>
          <w:bCs w:val="0"/>
          <w:color w:val="17365D" w:themeColor="text2" w:themeShade="BF"/>
          <w:spacing w:val="5"/>
          <w:kern w:val="28"/>
          <w:sz w:val="28"/>
          <w:szCs w:val="52"/>
        </w:rPr>
        <w:t xml:space="preserve"> M</w:t>
      </w:r>
      <w:r>
        <w:rPr>
          <w:bCs w:val="0"/>
          <w:color w:val="17365D" w:themeColor="text2" w:themeShade="BF"/>
          <w:spacing w:val="5"/>
          <w:kern w:val="28"/>
          <w:sz w:val="28"/>
          <w:szCs w:val="52"/>
        </w:rPr>
        <w:t>odalités d’attribution</w:t>
      </w:r>
      <w:r w:rsid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des marchés</w:t>
      </w:r>
      <w:r w:rsid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subséquents</w:t>
      </w:r>
      <w:bookmarkEnd w:id="23"/>
    </w:p>
    <w:p w14:paraId="51D739B9" w14:textId="77777777" w:rsidR="000425DE" w:rsidRPr="00521BDF" w:rsidRDefault="000425DE" w:rsidP="00A35A65">
      <w:pPr>
        <w:jc w:val="both"/>
        <w:rPr>
          <w:sz w:val="24"/>
        </w:rPr>
      </w:pPr>
      <w:r w:rsidRPr="00521BDF">
        <w:rPr>
          <w:sz w:val="24"/>
        </w:rPr>
        <w:t>En</w:t>
      </w:r>
      <w:r w:rsidR="0039362B">
        <w:rPr>
          <w:sz w:val="24"/>
        </w:rPr>
        <w:t xml:space="preserve"> </w:t>
      </w:r>
      <w:r w:rsidRPr="00521BDF">
        <w:rPr>
          <w:sz w:val="24"/>
        </w:rPr>
        <w:t>fonction</w:t>
      </w:r>
      <w:r w:rsidR="0039362B">
        <w:rPr>
          <w:sz w:val="24"/>
        </w:rPr>
        <w:t xml:space="preserve"> </w:t>
      </w:r>
      <w:r w:rsidRPr="00521BDF">
        <w:rPr>
          <w:sz w:val="24"/>
        </w:rPr>
        <w:t>de</w:t>
      </w:r>
      <w:r w:rsidR="0039362B">
        <w:rPr>
          <w:sz w:val="24"/>
        </w:rPr>
        <w:t xml:space="preserve"> </w:t>
      </w:r>
      <w:r w:rsidRPr="00521BDF">
        <w:rPr>
          <w:sz w:val="24"/>
        </w:rPr>
        <w:t>l’identification</w:t>
      </w:r>
      <w:r w:rsidR="0039362B">
        <w:rPr>
          <w:sz w:val="24"/>
        </w:rPr>
        <w:t xml:space="preserve"> </w:t>
      </w:r>
      <w:r w:rsidRPr="00521BDF">
        <w:rPr>
          <w:sz w:val="24"/>
        </w:rPr>
        <w:t>de</w:t>
      </w:r>
      <w:r w:rsidR="0039362B">
        <w:rPr>
          <w:sz w:val="24"/>
        </w:rPr>
        <w:t xml:space="preserve"> </w:t>
      </w:r>
      <w:r w:rsidRPr="00521BDF">
        <w:rPr>
          <w:sz w:val="24"/>
        </w:rPr>
        <w:t>l’opération</w:t>
      </w:r>
      <w:r w:rsidR="0039362B">
        <w:rPr>
          <w:sz w:val="24"/>
        </w:rPr>
        <w:t xml:space="preserve"> </w:t>
      </w:r>
      <w:r w:rsidRPr="00521BDF">
        <w:rPr>
          <w:sz w:val="24"/>
        </w:rPr>
        <w:t>de</w:t>
      </w:r>
      <w:r w:rsidR="0039362B">
        <w:rPr>
          <w:sz w:val="24"/>
        </w:rPr>
        <w:t xml:space="preserve"> </w:t>
      </w:r>
      <w:r w:rsidRPr="00521BDF">
        <w:rPr>
          <w:sz w:val="24"/>
        </w:rPr>
        <w:t>défiscalisation</w:t>
      </w:r>
      <w:r w:rsidR="0039362B">
        <w:rPr>
          <w:sz w:val="24"/>
        </w:rPr>
        <w:t xml:space="preserve"> </w:t>
      </w:r>
      <w:r w:rsidRPr="00521BDF">
        <w:rPr>
          <w:sz w:val="24"/>
        </w:rPr>
        <w:t>et</w:t>
      </w:r>
      <w:r w:rsidR="0039362B">
        <w:rPr>
          <w:sz w:val="24"/>
        </w:rPr>
        <w:t xml:space="preserve"> </w:t>
      </w:r>
      <w:r w:rsidRPr="00521BDF">
        <w:rPr>
          <w:sz w:val="24"/>
        </w:rPr>
        <w:t>de</w:t>
      </w:r>
      <w:r w:rsidR="0039362B">
        <w:rPr>
          <w:sz w:val="24"/>
        </w:rPr>
        <w:t xml:space="preserve"> </w:t>
      </w:r>
      <w:r w:rsidR="005852FA">
        <w:rPr>
          <w:sz w:val="24"/>
        </w:rPr>
        <w:t xml:space="preserve">l’opération </w:t>
      </w:r>
      <w:r w:rsidRPr="00521BDF">
        <w:rPr>
          <w:sz w:val="24"/>
        </w:rPr>
        <w:t>immobilière correspondante, l</w:t>
      </w:r>
      <w:r w:rsidR="005852FA">
        <w:rPr>
          <w:sz w:val="24"/>
        </w:rPr>
        <w:t>e FCH</w:t>
      </w:r>
      <w:r w:rsidRPr="00521BDF">
        <w:rPr>
          <w:sz w:val="24"/>
        </w:rPr>
        <w:t xml:space="preserve"> adresse</w:t>
      </w:r>
      <w:r w:rsidR="005852FA">
        <w:rPr>
          <w:sz w:val="24"/>
        </w:rPr>
        <w:t>ra</w:t>
      </w:r>
      <w:r w:rsidRPr="00521BDF">
        <w:rPr>
          <w:sz w:val="24"/>
        </w:rPr>
        <w:t xml:space="preserve"> à chacun des </w:t>
      </w:r>
      <w:r w:rsidR="005852FA">
        <w:rPr>
          <w:sz w:val="24"/>
        </w:rPr>
        <w:t>deux</w:t>
      </w:r>
      <w:r w:rsidRPr="00521BDF">
        <w:rPr>
          <w:sz w:val="24"/>
        </w:rPr>
        <w:t xml:space="preserve"> titulaires de l’accord-cadre une lettre de consultation propre à chaque marché subséquent, accompagnée le cas échéant d’un</w:t>
      </w:r>
      <w:r w:rsidR="0039362B">
        <w:rPr>
          <w:sz w:val="24"/>
        </w:rPr>
        <w:t xml:space="preserve"> </w:t>
      </w:r>
      <w:r w:rsidRPr="00521BDF">
        <w:rPr>
          <w:sz w:val="24"/>
        </w:rPr>
        <w:t>d</w:t>
      </w:r>
      <w:r w:rsidR="005852FA">
        <w:rPr>
          <w:sz w:val="24"/>
        </w:rPr>
        <w:t>ossier de consultation dont il</w:t>
      </w:r>
      <w:r w:rsidRPr="00521BDF">
        <w:rPr>
          <w:sz w:val="24"/>
        </w:rPr>
        <w:t xml:space="preserve"> se réserve de définir le contenu.</w:t>
      </w:r>
    </w:p>
    <w:p w14:paraId="48CE5CBA" w14:textId="77777777" w:rsidR="00DC6813" w:rsidRPr="00DC6813" w:rsidRDefault="00DC6813" w:rsidP="00DC6813">
      <w:pPr>
        <w:jc w:val="both"/>
        <w:rPr>
          <w:sz w:val="24"/>
        </w:rPr>
      </w:pPr>
      <w:r w:rsidRPr="00DC6813">
        <w:rPr>
          <w:sz w:val="24"/>
        </w:rPr>
        <w:t>Il sera demandé à chaque titulaire, dans un délai fixé par</w:t>
      </w:r>
      <w:r>
        <w:rPr>
          <w:sz w:val="24"/>
        </w:rPr>
        <w:t xml:space="preserve"> la lettre de consultation, de compléter par écrit son offre, </w:t>
      </w:r>
      <w:r w:rsidRPr="00DC6813">
        <w:rPr>
          <w:sz w:val="24"/>
        </w:rPr>
        <w:t>au vu du périmètre de l’opération de défiscalisation défini dans la lettre de</w:t>
      </w:r>
      <w:r w:rsidR="0098360C">
        <w:rPr>
          <w:sz w:val="24"/>
        </w:rPr>
        <w:t xml:space="preserve"> </w:t>
      </w:r>
      <w:r w:rsidRPr="00DC6813">
        <w:rPr>
          <w:sz w:val="24"/>
        </w:rPr>
        <w:t>consultation</w:t>
      </w:r>
      <w:r w:rsidR="0098360C">
        <w:rPr>
          <w:sz w:val="24"/>
        </w:rPr>
        <w:t xml:space="preserve"> </w:t>
      </w:r>
      <w:r w:rsidRPr="00DC6813">
        <w:rPr>
          <w:sz w:val="24"/>
        </w:rPr>
        <w:t>et,</w:t>
      </w:r>
      <w:r w:rsidR="0098360C">
        <w:rPr>
          <w:sz w:val="24"/>
        </w:rPr>
        <w:t xml:space="preserve"> </w:t>
      </w:r>
      <w:r w:rsidRPr="00DC6813">
        <w:rPr>
          <w:sz w:val="24"/>
        </w:rPr>
        <w:t>le</w:t>
      </w:r>
      <w:r w:rsidR="0098360C">
        <w:rPr>
          <w:sz w:val="24"/>
        </w:rPr>
        <w:t xml:space="preserve"> </w:t>
      </w:r>
      <w:r w:rsidRPr="00DC6813">
        <w:rPr>
          <w:sz w:val="24"/>
        </w:rPr>
        <w:t>cas</w:t>
      </w:r>
      <w:r w:rsidR="0098360C">
        <w:rPr>
          <w:sz w:val="24"/>
        </w:rPr>
        <w:t xml:space="preserve"> </w:t>
      </w:r>
      <w:r w:rsidRPr="00DC6813">
        <w:rPr>
          <w:sz w:val="24"/>
        </w:rPr>
        <w:t>échéant,</w:t>
      </w:r>
      <w:r w:rsidR="0098360C">
        <w:rPr>
          <w:sz w:val="24"/>
        </w:rPr>
        <w:t xml:space="preserve"> </w:t>
      </w:r>
      <w:r w:rsidRPr="00DC6813">
        <w:rPr>
          <w:sz w:val="24"/>
        </w:rPr>
        <w:t>dans</w:t>
      </w:r>
      <w:r w:rsidR="0098360C">
        <w:rPr>
          <w:sz w:val="24"/>
        </w:rPr>
        <w:t xml:space="preserve"> </w:t>
      </w:r>
      <w:r w:rsidRPr="00DC6813">
        <w:rPr>
          <w:sz w:val="24"/>
        </w:rPr>
        <w:t>le</w:t>
      </w:r>
      <w:r w:rsidR="0098360C">
        <w:rPr>
          <w:sz w:val="24"/>
        </w:rPr>
        <w:t xml:space="preserve"> </w:t>
      </w:r>
      <w:r w:rsidRPr="00DC6813">
        <w:rPr>
          <w:sz w:val="24"/>
        </w:rPr>
        <w:t>dossier de</w:t>
      </w:r>
      <w:r w:rsidR="0098360C">
        <w:rPr>
          <w:sz w:val="24"/>
        </w:rPr>
        <w:t xml:space="preserve"> </w:t>
      </w:r>
      <w:r w:rsidRPr="00DC6813">
        <w:rPr>
          <w:sz w:val="24"/>
        </w:rPr>
        <w:t>consultation</w:t>
      </w:r>
      <w:r w:rsidR="0098360C">
        <w:rPr>
          <w:sz w:val="24"/>
        </w:rPr>
        <w:t xml:space="preserve"> </w:t>
      </w:r>
      <w:r w:rsidRPr="00DC6813">
        <w:rPr>
          <w:sz w:val="24"/>
        </w:rPr>
        <w:t>ainsi</w:t>
      </w:r>
      <w:r w:rsidR="0098360C">
        <w:rPr>
          <w:sz w:val="24"/>
        </w:rPr>
        <w:t xml:space="preserve"> </w:t>
      </w:r>
      <w:r w:rsidRPr="00DC6813">
        <w:rPr>
          <w:sz w:val="24"/>
        </w:rPr>
        <w:t>que</w:t>
      </w:r>
      <w:r w:rsidR="0098360C">
        <w:rPr>
          <w:sz w:val="24"/>
        </w:rPr>
        <w:t xml:space="preserve"> </w:t>
      </w:r>
      <w:r w:rsidRPr="00DC6813">
        <w:rPr>
          <w:sz w:val="24"/>
        </w:rPr>
        <w:t>dans</w:t>
      </w:r>
      <w:r w:rsidR="0098360C">
        <w:rPr>
          <w:sz w:val="24"/>
        </w:rPr>
        <w:t xml:space="preserve"> </w:t>
      </w:r>
      <w:r w:rsidRPr="00DC6813">
        <w:rPr>
          <w:sz w:val="24"/>
        </w:rPr>
        <w:t xml:space="preserve">le respect de ses engagements au titre de l’accord-cadre. </w:t>
      </w:r>
    </w:p>
    <w:p w14:paraId="2FC82257" w14:textId="77777777" w:rsidR="00DC6813" w:rsidRPr="00DC6813" w:rsidRDefault="00DC6813" w:rsidP="00DC6813">
      <w:pPr>
        <w:jc w:val="both"/>
        <w:rPr>
          <w:sz w:val="24"/>
        </w:rPr>
      </w:pPr>
      <w:r w:rsidRPr="00DC6813">
        <w:rPr>
          <w:sz w:val="24"/>
        </w:rPr>
        <w:t>Cette lettre précisera les modalités pratiques de remise de</w:t>
      </w:r>
      <w:r>
        <w:rPr>
          <w:sz w:val="24"/>
        </w:rPr>
        <w:t xml:space="preserve">s offres et notamment le délai </w:t>
      </w:r>
      <w:r w:rsidRPr="00DC6813">
        <w:rPr>
          <w:sz w:val="24"/>
        </w:rPr>
        <w:t xml:space="preserve">de remise. </w:t>
      </w:r>
    </w:p>
    <w:p w14:paraId="2BDA241F" w14:textId="77777777" w:rsidR="00810C9D" w:rsidRDefault="00DC6813" w:rsidP="00DC6813">
      <w:pPr>
        <w:jc w:val="both"/>
        <w:rPr>
          <w:sz w:val="24"/>
        </w:rPr>
      </w:pPr>
      <w:r w:rsidRPr="00DC6813">
        <w:rPr>
          <w:sz w:val="24"/>
        </w:rPr>
        <w:t>Les lettres de consultation seront adressées par</w:t>
      </w:r>
      <w:r>
        <w:rPr>
          <w:sz w:val="24"/>
        </w:rPr>
        <w:t xml:space="preserve"> le FCH</w:t>
      </w:r>
      <w:r w:rsidR="0098360C">
        <w:rPr>
          <w:sz w:val="24"/>
        </w:rPr>
        <w:t xml:space="preserve"> </w:t>
      </w:r>
      <w:r w:rsidRPr="00521BDF">
        <w:rPr>
          <w:sz w:val="24"/>
        </w:rPr>
        <w:t xml:space="preserve">à chacun des </w:t>
      </w:r>
      <w:r>
        <w:rPr>
          <w:sz w:val="24"/>
        </w:rPr>
        <w:t>deux</w:t>
      </w:r>
      <w:r w:rsidRPr="00521BDF">
        <w:rPr>
          <w:sz w:val="24"/>
        </w:rPr>
        <w:t xml:space="preserve"> titulaires de l’accord-cadre</w:t>
      </w:r>
      <w:r w:rsidR="0098360C">
        <w:rPr>
          <w:sz w:val="24"/>
        </w:rPr>
        <w:t xml:space="preserve"> </w:t>
      </w:r>
      <w:r w:rsidRPr="00DC6813">
        <w:rPr>
          <w:sz w:val="24"/>
        </w:rPr>
        <w:t>par tout moyen</w:t>
      </w:r>
      <w:r>
        <w:rPr>
          <w:sz w:val="24"/>
        </w:rPr>
        <w:t xml:space="preserve"> à sa convenance, il sera demandé à chacun des titulaires d’en accuser réception.</w:t>
      </w:r>
    </w:p>
    <w:p w14:paraId="6AA87BCC" w14:textId="77777777" w:rsidR="00DC6813" w:rsidRDefault="00DC6813" w:rsidP="0048125A">
      <w:pPr>
        <w:jc w:val="both"/>
      </w:pPr>
      <w:r>
        <w:rPr>
          <w:sz w:val="24"/>
        </w:rPr>
        <w:t>Le</w:t>
      </w:r>
      <w:r w:rsidR="00E1273F">
        <w:rPr>
          <w:sz w:val="24"/>
        </w:rPr>
        <w:t xml:space="preserve"> délai de validité de</w:t>
      </w:r>
      <w:r>
        <w:rPr>
          <w:sz w:val="24"/>
        </w:rPr>
        <w:t xml:space="preserve">s offres </w:t>
      </w:r>
      <w:r w:rsidR="00E1273F">
        <w:rPr>
          <w:sz w:val="24"/>
        </w:rPr>
        <w:t>est de soixante (60) jours à compter de la date limite de remise des offres.</w:t>
      </w:r>
      <w:r>
        <w:t xml:space="preserve"> </w:t>
      </w:r>
    </w:p>
    <w:p w14:paraId="5CA22656" w14:textId="77777777" w:rsidR="00DC6813" w:rsidRDefault="00DC6813" w:rsidP="00DE14AD">
      <w:pPr>
        <w:pStyle w:val="Titre3"/>
        <w:numPr>
          <w:ilvl w:val="0"/>
          <w:numId w:val="12"/>
        </w:numPr>
      </w:pPr>
      <w:bookmarkStart w:id="24" w:name="_Toc145312181"/>
      <w:r>
        <w:t>Contenu des offres relatives aux marchés subséquents</w:t>
      </w:r>
      <w:bookmarkEnd w:id="24"/>
    </w:p>
    <w:p w14:paraId="53A59A4A" w14:textId="77777777" w:rsidR="009367E7" w:rsidRPr="009367E7" w:rsidRDefault="009367E7" w:rsidP="009367E7">
      <w:pPr>
        <w:jc w:val="both"/>
        <w:rPr>
          <w:sz w:val="24"/>
        </w:rPr>
      </w:pPr>
      <w:r w:rsidRPr="009367E7">
        <w:rPr>
          <w:sz w:val="24"/>
        </w:rPr>
        <w:t>Les</w:t>
      </w:r>
      <w:r w:rsidR="0098360C">
        <w:rPr>
          <w:sz w:val="24"/>
        </w:rPr>
        <w:t xml:space="preserve"> </w:t>
      </w:r>
      <w:r w:rsidR="0048125A">
        <w:rPr>
          <w:sz w:val="24"/>
        </w:rPr>
        <w:t>deux</w:t>
      </w:r>
      <w:r w:rsidR="0098360C">
        <w:rPr>
          <w:sz w:val="24"/>
        </w:rPr>
        <w:t xml:space="preserve"> </w:t>
      </w:r>
      <w:r w:rsidRPr="009367E7">
        <w:rPr>
          <w:sz w:val="24"/>
        </w:rPr>
        <w:t>titulaires</w:t>
      </w:r>
      <w:r w:rsidR="0098360C">
        <w:rPr>
          <w:sz w:val="24"/>
        </w:rPr>
        <w:t xml:space="preserve"> </w:t>
      </w:r>
      <w:r w:rsidRPr="009367E7">
        <w:rPr>
          <w:sz w:val="24"/>
        </w:rPr>
        <w:t>de</w:t>
      </w:r>
      <w:r w:rsidR="0098360C">
        <w:rPr>
          <w:sz w:val="24"/>
        </w:rPr>
        <w:t xml:space="preserve"> </w:t>
      </w:r>
      <w:r w:rsidRPr="009367E7">
        <w:rPr>
          <w:sz w:val="24"/>
        </w:rPr>
        <w:t>l’accord-cadre</w:t>
      </w:r>
      <w:r w:rsidR="0098360C">
        <w:rPr>
          <w:sz w:val="24"/>
        </w:rPr>
        <w:t xml:space="preserve"> </w:t>
      </w:r>
      <w:r w:rsidRPr="009367E7">
        <w:rPr>
          <w:sz w:val="24"/>
        </w:rPr>
        <w:t>remettent</w:t>
      </w:r>
      <w:r w:rsidR="0098360C">
        <w:rPr>
          <w:sz w:val="24"/>
        </w:rPr>
        <w:t xml:space="preserve"> </w:t>
      </w:r>
      <w:r w:rsidRPr="009367E7">
        <w:rPr>
          <w:sz w:val="24"/>
        </w:rPr>
        <w:t>chacun</w:t>
      </w:r>
      <w:r w:rsidR="0098360C">
        <w:rPr>
          <w:sz w:val="24"/>
        </w:rPr>
        <w:t xml:space="preserve"> </w:t>
      </w:r>
      <w:r w:rsidRPr="009367E7">
        <w:rPr>
          <w:sz w:val="24"/>
        </w:rPr>
        <w:t>une</w:t>
      </w:r>
      <w:r w:rsidR="0098360C">
        <w:rPr>
          <w:sz w:val="24"/>
        </w:rPr>
        <w:t xml:space="preserve"> </w:t>
      </w:r>
      <w:r w:rsidRPr="009367E7">
        <w:rPr>
          <w:sz w:val="24"/>
        </w:rPr>
        <w:t>offre</w:t>
      </w:r>
      <w:r w:rsidR="0098360C">
        <w:rPr>
          <w:sz w:val="24"/>
        </w:rPr>
        <w:t xml:space="preserve"> </w:t>
      </w:r>
      <w:r w:rsidRPr="009367E7">
        <w:rPr>
          <w:sz w:val="24"/>
        </w:rPr>
        <w:t>pour</w:t>
      </w:r>
      <w:r w:rsidR="0098360C">
        <w:rPr>
          <w:sz w:val="24"/>
        </w:rPr>
        <w:t xml:space="preserve"> </w:t>
      </w:r>
      <w:r w:rsidRPr="009367E7">
        <w:rPr>
          <w:sz w:val="24"/>
        </w:rPr>
        <w:t>le</w:t>
      </w:r>
      <w:r w:rsidR="0098360C">
        <w:rPr>
          <w:sz w:val="24"/>
        </w:rPr>
        <w:t xml:space="preserve"> </w:t>
      </w:r>
      <w:r w:rsidRPr="009367E7">
        <w:rPr>
          <w:sz w:val="24"/>
        </w:rPr>
        <w:t>marché</w:t>
      </w:r>
      <w:r w:rsidR="0048125A">
        <w:rPr>
          <w:sz w:val="24"/>
        </w:rPr>
        <w:t xml:space="preserve"> </w:t>
      </w:r>
      <w:r w:rsidRPr="009367E7">
        <w:rPr>
          <w:sz w:val="24"/>
        </w:rPr>
        <w:t>subséquent</w:t>
      </w:r>
      <w:r w:rsidR="0098360C">
        <w:rPr>
          <w:sz w:val="24"/>
        </w:rPr>
        <w:t xml:space="preserve"> </w:t>
      </w:r>
      <w:r w:rsidRPr="009367E7">
        <w:rPr>
          <w:sz w:val="24"/>
        </w:rPr>
        <w:t>comprenant, dans les conditions fixées</w:t>
      </w:r>
      <w:r w:rsidR="0098360C">
        <w:rPr>
          <w:sz w:val="24"/>
        </w:rPr>
        <w:t xml:space="preserve"> </w:t>
      </w:r>
      <w:r w:rsidR="00620DF2">
        <w:rPr>
          <w:sz w:val="24"/>
        </w:rPr>
        <w:t>au présent article</w:t>
      </w:r>
      <w:r w:rsidR="0048125A">
        <w:rPr>
          <w:sz w:val="24"/>
        </w:rPr>
        <w:t xml:space="preserve"> </w:t>
      </w:r>
      <w:r w:rsidRPr="009367E7">
        <w:rPr>
          <w:sz w:val="24"/>
        </w:rPr>
        <w:t xml:space="preserve">: </w:t>
      </w:r>
    </w:p>
    <w:p w14:paraId="131CFC0D" w14:textId="5FC6DC23" w:rsidR="00E229F9" w:rsidRPr="00620DF2" w:rsidRDefault="00620DF2" w:rsidP="00620DF2">
      <w:pPr>
        <w:pStyle w:val="Paragraphedeliste"/>
        <w:numPr>
          <w:ilvl w:val="0"/>
          <w:numId w:val="19"/>
        </w:numPr>
        <w:jc w:val="both"/>
        <w:rPr>
          <w:sz w:val="24"/>
        </w:rPr>
      </w:pPr>
      <w:proofErr w:type="gramStart"/>
      <w:r w:rsidRPr="00620DF2">
        <w:rPr>
          <w:sz w:val="24"/>
        </w:rPr>
        <w:t>le</w:t>
      </w:r>
      <w:proofErr w:type="gramEnd"/>
      <w:r w:rsidRPr="00620DF2">
        <w:rPr>
          <w:sz w:val="24"/>
        </w:rPr>
        <w:t xml:space="preserve"> schéma envisag</w:t>
      </w:r>
      <w:r w:rsidR="00E229F9" w:rsidRPr="00620DF2">
        <w:rPr>
          <w:sz w:val="24"/>
        </w:rPr>
        <w:t xml:space="preserve">é </w:t>
      </w:r>
      <w:r w:rsidRPr="00620DF2">
        <w:rPr>
          <w:sz w:val="24"/>
        </w:rPr>
        <w:t xml:space="preserve">article 199 </w:t>
      </w:r>
      <w:proofErr w:type="spellStart"/>
      <w:r w:rsidRPr="00620DF2">
        <w:rPr>
          <w:sz w:val="24"/>
        </w:rPr>
        <w:t>undecies</w:t>
      </w:r>
      <w:proofErr w:type="spellEnd"/>
      <w:r w:rsidRPr="00620DF2">
        <w:rPr>
          <w:sz w:val="24"/>
        </w:rPr>
        <w:t xml:space="preserve"> C (IR) ou article </w:t>
      </w:r>
      <w:r w:rsidR="00545718">
        <w:rPr>
          <w:sz w:val="24"/>
        </w:rPr>
        <w:t>244 quarter Y</w:t>
      </w:r>
      <w:r w:rsidRPr="00620DF2">
        <w:rPr>
          <w:sz w:val="24"/>
        </w:rPr>
        <w:t xml:space="preserve"> du Code général des impôts (IS)</w:t>
      </w:r>
      <w:r>
        <w:rPr>
          <w:sz w:val="24"/>
        </w:rPr>
        <w:t xml:space="preserve"> </w:t>
      </w:r>
      <w:r w:rsidRPr="00620DF2">
        <w:rPr>
          <w:sz w:val="24"/>
        </w:rPr>
        <w:t>;</w:t>
      </w:r>
    </w:p>
    <w:p w14:paraId="59FE392A" w14:textId="5C4BE174" w:rsidR="009367E7" w:rsidRDefault="00620DF2" w:rsidP="00620DF2">
      <w:pPr>
        <w:pStyle w:val="Paragraphedeliste"/>
        <w:numPr>
          <w:ilvl w:val="0"/>
          <w:numId w:val="19"/>
        </w:numPr>
        <w:jc w:val="both"/>
        <w:rPr>
          <w:sz w:val="24"/>
        </w:rPr>
      </w:pPr>
      <w:proofErr w:type="gramStart"/>
      <w:r w:rsidRPr="00620DF2">
        <w:rPr>
          <w:sz w:val="24"/>
        </w:rPr>
        <w:t>u</w:t>
      </w:r>
      <w:r w:rsidR="009367E7" w:rsidRPr="00620DF2">
        <w:rPr>
          <w:sz w:val="24"/>
        </w:rPr>
        <w:t>ne</w:t>
      </w:r>
      <w:proofErr w:type="gramEnd"/>
      <w:r w:rsidR="009367E7" w:rsidRPr="00620DF2">
        <w:rPr>
          <w:sz w:val="24"/>
        </w:rPr>
        <w:t xml:space="preserve"> proposition de taux de rétrocession </w:t>
      </w:r>
      <w:r w:rsidRPr="00620DF2">
        <w:rPr>
          <w:sz w:val="24"/>
        </w:rPr>
        <w:t>équivalent ou en</w:t>
      </w:r>
      <w:r w:rsidR="009367E7" w:rsidRPr="00620DF2">
        <w:rPr>
          <w:sz w:val="24"/>
        </w:rPr>
        <w:t xml:space="preserve"> augmentation par rapport aux taux minimum </w:t>
      </w:r>
      <w:r w:rsidRPr="00620DF2">
        <w:rPr>
          <w:sz w:val="24"/>
        </w:rPr>
        <w:t>mentionnés</w:t>
      </w:r>
      <w:r w:rsidR="009367E7" w:rsidRPr="00620DF2">
        <w:rPr>
          <w:sz w:val="24"/>
        </w:rPr>
        <w:t xml:space="preserve"> au stade de l’attribution de l’</w:t>
      </w:r>
      <w:r w:rsidR="001E290D" w:rsidRPr="00620DF2">
        <w:rPr>
          <w:sz w:val="24"/>
        </w:rPr>
        <w:t>accord-cadre</w:t>
      </w:r>
      <w:r w:rsidRPr="00620DF2">
        <w:rPr>
          <w:sz w:val="24"/>
        </w:rPr>
        <w:t> ;</w:t>
      </w:r>
      <w:r w:rsidR="0098360C" w:rsidRPr="00620DF2">
        <w:rPr>
          <w:sz w:val="24"/>
        </w:rPr>
        <w:t xml:space="preserve"> </w:t>
      </w:r>
    </w:p>
    <w:p w14:paraId="6614F8D4" w14:textId="6EC30389" w:rsidR="001C7B65" w:rsidRPr="0067134D" w:rsidRDefault="001C7B65" w:rsidP="00654255">
      <w:pPr>
        <w:pStyle w:val="Paragraphedeliste"/>
        <w:numPr>
          <w:ilvl w:val="0"/>
          <w:numId w:val="19"/>
        </w:numPr>
        <w:jc w:val="both"/>
        <w:rPr>
          <w:sz w:val="24"/>
        </w:rPr>
      </w:pPr>
      <w:proofErr w:type="gramStart"/>
      <w:r w:rsidRPr="0067134D">
        <w:rPr>
          <w:sz w:val="24"/>
        </w:rPr>
        <w:t>de</w:t>
      </w:r>
      <w:proofErr w:type="gramEnd"/>
      <w:r w:rsidRPr="0067134D">
        <w:rPr>
          <w:sz w:val="24"/>
        </w:rPr>
        <w:t xml:space="preserve"> manière dérogatoire</w:t>
      </w:r>
      <w:r w:rsidR="00CD6F4B" w:rsidRPr="0067134D">
        <w:rPr>
          <w:sz w:val="24"/>
        </w:rPr>
        <w:t>,</w:t>
      </w:r>
      <w:r w:rsidRPr="0067134D">
        <w:rPr>
          <w:sz w:val="24"/>
        </w:rPr>
        <w:t xml:space="preserve"> une proposition de taux de rétrocession spécifique, lorsque la base éligible de l’opération ou du groupement d’opérations telle qu’indiquée dans la lettre de consultation du marché subséquent </w:t>
      </w:r>
      <w:r w:rsidR="001A6755" w:rsidRPr="0067134D">
        <w:rPr>
          <w:sz w:val="24"/>
        </w:rPr>
        <w:t xml:space="preserve">est </w:t>
      </w:r>
      <w:r w:rsidRPr="0067134D">
        <w:rPr>
          <w:sz w:val="24"/>
        </w:rPr>
        <w:t>inférieure à la base éligible plancher de l’annexe 2</w:t>
      </w:r>
      <w:r w:rsidRPr="0067134D">
        <w:t xml:space="preserve"> </w:t>
      </w:r>
      <w:r w:rsidR="00CD6F4B" w:rsidRPr="0067134D">
        <w:rPr>
          <w:sz w:val="24"/>
        </w:rPr>
        <w:t>du</w:t>
      </w:r>
      <w:r w:rsidRPr="0067134D">
        <w:rPr>
          <w:sz w:val="24"/>
        </w:rPr>
        <w:t xml:space="preserve"> présent accord-cadre, </w:t>
      </w:r>
    </w:p>
    <w:p w14:paraId="08E3F42D" w14:textId="77777777" w:rsidR="00E229F9" w:rsidRDefault="00620DF2" w:rsidP="00620DF2">
      <w:pPr>
        <w:pStyle w:val="Paragraphedeliste"/>
        <w:numPr>
          <w:ilvl w:val="0"/>
          <w:numId w:val="19"/>
        </w:numPr>
        <w:jc w:val="both"/>
        <w:rPr>
          <w:sz w:val="24"/>
        </w:rPr>
      </w:pPr>
      <w:proofErr w:type="gramStart"/>
      <w:r w:rsidRPr="00620DF2">
        <w:rPr>
          <w:sz w:val="24"/>
        </w:rPr>
        <w:t>u</w:t>
      </w:r>
      <w:r w:rsidR="00E229F9" w:rsidRPr="00620DF2">
        <w:rPr>
          <w:sz w:val="24"/>
        </w:rPr>
        <w:t>ne</w:t>
      </w:r>
      <w:proofErr w:type="gramEnd"/>
      <w:r w:rsidR="00E229F9" w:rsidRPr="00620DF2">
        <w:rPr>
          <w:sz w:val="24"/>
        </w:rPr>
        <w:t xml:space="preserve"> proposition de</w:t>
      </w:r>
      <w:r w:rsidRPr="00620DF2">
        <w:rPr>
          <w:sz w:val="24"/>
        </w:rPr>
        <w:t xml:space="preserve"> taux de</w:t>
      </w:r>
      <w:r w:rsidR="00E229F9" w:rsidRPr="00620DF2">
        <w:rPr>
          <w:sz w:val="24"/>
        </w:rPr>
        <w:t xml:space="preserve"> rémunération globale et forfaitaire </w:t>
      </w:r>
      <w:r w:rsidRPr="00620DF2">
        <w:rPr>
          <w:sz w:val="24"/>
        </w:rPr>
        <w:t>équivalent ou en diminution par rapport aux taux minimum mentionnés au stade de l’attribution de l’accord-cadre ;</w:t>
      </w:r>
    </w:p>
    <w:p w14:paraId="2C1B15C0" w14:textId="77777777" w:rsidR="003603F3" w:rsidRPr="003603F3" w:rsidRDefault="003603F3" w:rsidP="003603F3">
      <w:pPr>
        <w:pStyle w:val="Paragraphedeliste"/>
        <w:numPr>
          <w:ilvl w:val="0"/>
          <w:numId w:val="19"/>
        </w:numPr>
        <w:jc w:val="both"/>
        <w:rPr>
          <w:sz w:val="24"/>
        </w:rPr>
      </w:pPr>
      <w:proofErr w:type="gramStart"/>
      <w:r>
        <w:rPr>
          <w:sz w:val="24"/>
        </w:rPr>
        <w:t>d</w:t>
      </w:r>
      <w:r w:rsidRPr="00620DF2">
        <w:rPr>
          <w:sz w:val="24"/>
        </w:rPr>
        <w:t>es</w:t>
      </w:r>
      <w:proofErr w:type="gramEnd"/>
      <w:r w:rsidRPr="00620DF2">
        <w:rPr>
          <w:sz w:val="24"/>
        </w:rPr>
        <w:t xml:space="preserve"> propositions d’amélioration du montage ou de la documentation juridique, remise au stade de la procédure de passation de </w:t>
      </w:r>
      <w:r>
        <w:rPr>
          <w:sz w:val="24"/>
        </w:rPr>
        <w:t>l’accord-cadre ;</w:t>
      </w:r>
    </w:p>
    <w:p w14:paraId="261E3175" w14:textId="6AAE967B" w:rsidR="00E073A3" w:rsidRDefault="00620DF2" w:rsidP="00620DF2">
      <w:pPr>
        <w:pStyle w:val="Paragraphedeliste"/>
        <w:numPr>
          <w:ilvl w:val="0"/>
          <w:numId w:val="19"/>
        </w:numPr>
        <w:jc w:val="both"/>
        <w:rPr>
          <w:sz w:val="24"/>
        </w:rPr>
      </w:pPr>
      <w:proofErr w:type="gramStart"/>
      <w:r w:rsidRPr="00620DF2">
        <w:rPr>
          <w:sz w:val="24"/>
        </w:rPr>
        <w:t>u</w:t>
      </w:r>
      <w:r w:rsidR="009367E7" w:rsidRPr="00620DF2">
        <w:rPr>
          <w:sz w:val="24"/>
        </w:rPr>
        <w:t>n</w:t>
      </w:r>
      <w:proofErr w:type="gramEnd"/>
      <w:r w:rsidR="0098360C" w:rsidRPr="00620DF2">
        <w:rPr>
          <w:sz w:val="24"/>
        </w:rPr>
        <w:t xml:space="preserve"> </w:t>
      </w:r>
      <w:r w:rsidR="009367E7" w:rsidRPr="00620DF2">
        <w:rPr>
          <w:sz w:val="24"/>
        </w:rPr>
        <w:t>engagement</w:t>
      </w:r>
      <w:r w:rsidR="0098360C" w:rsidRPr="00620DF2">
        <w:rPr>
          <w:sz w:val="24"/>
        </w:rPr>
        <w:t xml:space="preserve"> </w:t>
      </w:r>
      <w:r w:rsidR="009367E7" w:rsidRPr="00620DF2">
        <w:rPr>
          <w:sz w:val="24"/>
        </w:rPr>
        <w:t>sur</w:t>
      </w:r>
      <w:r w:rsidR="0098360C" w:rsidRPr="00620DF2">
        <w:rPr>
          <w:sz w:val="24"/>
        </w:rPr>
        <w:t xml:space="preserve"> </w:t>
      </w:r>
      <w:r w:rsidR="009367E7" w:rsidRPr="00620DF2">
        <w:rPr>
          <w:sz w:val="24"/>
        </w:rPr>
        <w:t>un</w:t>
      </w:r>
      <w:r w:rsidR="0098360C" w:rsidRPr="00620DF2">
        <w:rPr>
          <w:sz w:val="24"/>
        </w:rPr>
        <w:t xml:space="preserve"> </w:t>
      </w:r>
      <w:r w:rsidR="009367E7" w:rsidRPr="00620DF2">
        <w:rPr>
          <w:sz w:val="24"/>
        </w:rPr>
        <w:t>délai</w:t>
      </w:r>
      <w:r w:rsidR="0098360C" w:rsidRPr="00620DF2">
        <w:rPr>
          <w:sz w:val="24"/>
        </w:rPr>
        <w:t xml:space="preserve"> </w:t>
      </w:r>
      <w:r w:rsidR="009367E7" w:rsidRPr="00620DF2">
        <w:rPr>
          <w:sz w:val="24"/>
        </w:rPr>
        <w:t>de</w:t>
      </w:r>
      <w:r w:rsidR="0098360C" w:rsidRPr="00620DF2">
        <w:rPr>
          <w:sz w:val="24"/>
        </w:rPr>
        <w:t xml:space="preserve"> </w:t>
      </w:r>
      <w:r w:rsidR="00E229F9" w:rsidRPr="00620DF2">
        <w:rPr>
          <w:sz w:val="24"/>
        </w:rPr>
        <w:t>rédaction</w:t>
      </w:r>
      <w:r w:rsidRPr="00620DF2">
        <w:rPr>
          <w:sz w:val="24"/>
        </w:rPr>
        <w:t xml:space="preserve"> de</w:t>
      </w:r>
      <w:r w:rsidR="003603F3">
        <w:rPr>
          <w:sz w:val="24"/>
        </w:rPr>
        <w:t xml:space="preserve"> la demande d’accord préalable.</w:t>
      </w:r>
      <w:r w:rsidR="009367E7" w:rsidRPr="00620DF2">
        <w:rPr>
          <w:sz w:val="24"/>
        </w:rPr>
        <w:t xml:space="preserve"> </w:t>
      </w:r>
    </w:p>
    <w:p w14:paraId="46CFE4B8" w14:textId="77777777" w:rsidR="00E073A3" w:rsidRDefault="00E073A3">
      <w:pPr>
        <w:rPr>
          <w:sz w:val="24"/>
        </w:rPr>
      </w:pPr>
      <w:r>
        <w:rPr>
          <w:sz w:val="24"/>
        </w:rPr>
        <w:br w:type="page"/>
      </w:r>
    </w:p>
    <w:p w14:paraId="6F5C0CA6" w14:textId="77777777" w:rsidR="009367E7" w:rsidRPr="009367E7" w:rsidRDefault="009367E7" w:rsidP="0048125A">
      <w:pPr>
        <w:pStyle w:val="Titre3"/>
      </w:pPr>
      <w:bookmarkStart w:id="25" w:name="_Toc145312182"/>
      <w:r w:rsidRPr="009367E7">
        <w:lastRenderedPageBreak/>
        <w:t>Modalités de remise des offres</w:t>
      </w:r>
      <w:bookmarkEnd w:id="25"/>
      <w:r w:rsidRPr="009367E7">
        <w:t xml:space="preserve"> </w:t>
      </w:r>
    </w:p>
    <w:p w14:paraId="395E3085" w14:textId="77777777" w:rsidR="009367E7" w:rsidRDefault="009367E7" w:rsidP="009367E7">
      <w:pPr>
        <w:jc w:val="both"/>
        <w:rPr>
          <w:sz w:val="24"/>
        </w:rPr>
      </w:pPr>
      <w:r w:rsidRPr="009367E7">
        <w:rPr>
          <w:sz w:val="24"/>
        </w:rPr>
        <w:t>Les</w:t>
      </w:r>
      <w:r w:rsidR="0098360C">
        <w:rPr>
          <w:sz w:val="24"/>
        </w:rPr>
        <w:t xml:space="preserve"> </w:t>
      </w:r>
      <w:r w:rsidRPr="009367E7">
        <w:rPr>
          <w:sz w:val="24"/>
        </w:rPr>
        <w:t>offres</w:t>
      </w:r>
      <w:r w:rsidR="0098360C">
        <w:rPr>
          <w:sz w:val="24"/>
        </w:rPr>
        <w:t xml:space="preserve"> </w:t>
      </w:r>
      <w:r w:rsidRPr="009367E7">
        <w:rPr>
          <w:sz w:val="24"/>
        </w:rPr>
        <w:t>devront</w:t>
      </w:r>
      <w:r w:rsidR="0098360C">
        <w:rPr>
          <w:sz w:val="24"/>
        </w:rPr>
        <w:t xml:space="preserve"> </w:t>
      </w:r>
      <w:r w:rsidRPr="009367E7">
        <w:rPr>
          <w:sz w:val="24"/>
        </w:rPr>
        <w:t>être</w:t>
      </w:r>
      <w:r w:rsidR="0098360C">
        <w:rPr>
          <w:sz w:val="24"/>
        </w:rPr>
        <w:t xml:space="preserve"> </w:t>
      </w:r>
      <w:r w:rsidRPr="009367E7">
        <w:rPr>
          <w:sz w:val="24"/>
        </w:rPr>
        <w:t>remises,</w:t>
      </w:r>
      <w:r w:rsidR="0098360C">
        <w:rPr>
          <w:sz w:val="24"/>
        </w:rPr>
        <w:t xml:space="preserve"> </w:t>
      </w:r>
      <w:r w:rsidRPr="009367E7">
        <w:rPr>
          <w:sz w:val="24"/>
        </w:rPr>
        <w:t>à</w:t>
      </w:r>
      <w:r w:rsidR="0098360C">
        <w:rPr>
          <w:sz w:val="24"/>
        </w:rPr>
        <w:t xml:space="preserve"> </w:t>
      </w:r>
      <w:r w:rsidRPr="009367E7">
        <w:rPr>
          <w:sz w:val="24"/>
        </w:rPr>
        <w:t>la</w:t>
      </w:r>
      <w:r w:rsidR="0098360C">
        <w:rPr>
          <w:sz w:val="24"/>
        </w:rPr>
        <w:t xml:space="preserve"> </w:t>
      </w:r>
      <w:r w:rsidRPr="009367E7">
        <w:rPr>
          <w:sz w:val="24"/>
        </w:rPr>
        <w:t>date</w:t>
      </w:r>
      <w:r w:rsidR="0098360C">
        <w:rPr>
          <w:sz w:val="24"/>
        </w:rPr>
        <w:t xml:space="preserve"> </w:t>
      </w:r>
      <w:r w:rsidRPr="009367E7">
        <w:rPr>
          <w:sz w:val="24"/>
        </w:rPr>
        <w:t>et</w:t>
      </w:r>
      <w:r w:rsidR="0098360C">
        <w:rPr>
          <w:sz w:val="24"/>
        </w:rPr>
        <w:t xml:space="preserve"> </w:t>
      </w:r>
      <w:r w:rsidRPr="009367E7">
        <w:rPr>
          <w:sz w:val="24"/>
        </w:rPr>
        <w:t>à</w:t>
      </w:r>
      <w:r w:rsidR="0098360C">
        <w:rPr>
          <w:sz w:val="24"/>
        </w:rPr>
        <w:t xml:space="preserve"> </w:t>
      </w:r>
      <w:r w:rsidRPr="009367E7">
        <w:rPr>
          <w:sz w:val="24"/>
        </w:rPr>
        <w:t>l’adresse</w:t>
      </w:r>
      <w:r w:rsidR="0098360C">
        <w:rPr>
          <w:sz w:val="24"/>
        </w:rPr>
        <w:t xml:space="preserve"> </w:t>
      </w:r>
      <w:r w:rsidRPr="009367E7">
        <w:rPr>
          <w:sz w:val="24"/>
        </w:rPr>
        <w:t>indiquées</w:t>
      </w:r>
      <w:r w:rsidR="0098360C">
        <w:rPr>
          <w:sz w:val="24"/>
        </w:rPr>
        <w:t xml:space="preserve"> </w:t>
      </w:r>
      <w:r w:rsidRPr="009367E7">
        <w:rPr>
          <w:sz w:val="24"/>
        </w:rPr>
        <w:t>au</w:t>
      </w:r>
      <w:r w:rsidR="0098360C">
        <w:rPr>
          <w:sz w:val="24"/>
        </w:rPr>
        <w:t xml:space="preserve"> </w:t>
      </w:r>
      <w:r w:rsidRPr="009367E7">
        <w:rPr>
          <w:sz w:val="24"/>
        </w:rPr>
        <w:t>courrier</w:t>
      </w:r>
      <w:r w:rsidR="0098360C">
        <w:rPr>
          <w:sz w:val="24"/>
        </w:rPr>
        <w:t xml:space="preserve"> </w:t>
      </w:r>
      <w:r w:rsidRPr="009367E7">
        <w:rPr>
          <w:sz w:val="24"/>
        </w:rPr>
        <w:t>de lancement de la consultation relative aux marchés subséquents</w:t>
      </w:r>
      <w:r w:rsidR="000D4A2E">
        <w:rPr>
          <w:sz w:val="24"/>
        </w:rPr>
        <w:t xml:space="preserve"> </w:t>
      </w:r>
      <w:r w:rsidR="000D4A2E">
        <w:rPr>
          <w:b/>
          <w:sz w:val="24"/>
          <w:u w:val="single"/>
        </w:rPr>
        <w:t>sous enveloppe cache</w:t>
      </w:r>
      <w:r w:rsidR="000D4A2E" w:rsidRPr="000D4A2E">
        <w:rPr>
          <w:b/>
          <w:sz w:val="24"/>
          <w:u w:val="single"/>
        </w:rPr>
        <w:t>tée</w:t>
      </w:r>
      <w:r w:rsidRPr="009367E7">
        <w:rPr>
          <w:sz w:val="24"/>
        </w:rPr>
        <w:t>.</w:t>
      </w:r>
      <w:r w:rsidR="0098360C">
        <w:rPr>
          <w:sz w:val="24"/>
        </w:rPr>
        <w:t xml:space="preserve"> </w:t>
      </w:r>
    </w:p>
    <w:p w14:paraId="6D782DAA" w14:textId="3AC88430" w:rsidR="000D4A2E" w:rsidRPr="007E440A" w:rsidRDefault="000D4A2E" w:rsidP="000D4A2E">
      <w:pPr>
        <w:jc w:val="both"/>
        <w:rPr>
          <w:sz w:val="24"/>
          <w:szCs w:val="24"/>
        </w:rPr>
      </w:pPr>
      <w:r>
        <w:rPr>
          <w:sz w:val="24"/>
          <w:szCs w:val="24"/>
        </w:rPr>
        <w:t xml:space="preserve">L’enveloppe </w:t>
      </w:r>
      <w:r w:rsidRPr="007E440A">
        <w:rPr>
          <w:sz w:val="24"/>
          <w:szCs w:val="24"/>
        </w:rPr>
        <w:t>portera comme seule mention le texte suivant :</w:t>
      </w:r>
    </w:p>
    <w:p w14:paraId="367CBA4F" w14:textId="77777777" w:rsidR="000D4A2E" w:rsidRDefault="000D4A2E" w:rsidP="000D4A2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Consultation dans le cadre de l’attribution d’un marché subséquent à l’a</w:t>
      </w:r>
      <w:r w:rsidRPr="007E440A">
        <w:rPr>
          <w:b/>
          <w:sz w:val="24"/>
          <w:szCs w:val="24"/>
        </w:rPr>
        <w:t>ccord-cadre multi-attributaires pour la réalisation de prestations de services consistant en l’obtention pour le compte du Fonds Calédonien de l’Habitat des avantages fiscaux relatifs à la défiscalisation immobilière dans le secteur</w:t>
      </w:r>
      <w:r>
        <w:rPr>
          <w:b/>
          <w:sz w:val="24"/>
          <w:szCs w:val="24"/>
        </w:rPr>
        <w:t xml:space="preserve"> du logement</w:t>
      </w:r>
      <w:r w:rsidRPr="007E440A">
        <w:rPr>
          <w:b/>
          <w:sz w:val="24"/>
          <w:szCs w:val="24"/>
        </w:rPr>
        <w:t xml:space="preserve"> social</w:t>
      </w:r>
      <w:r>
        <w:rPr>
          <w:b/>
          <w:sz w:val="24"/>
          <w:szCs w:val="24"/>
        </w:rPr>
        <w:t> »</w:t>
      </w:r>
    </w:p>
    <w:p w14:paraId="6A0443BC" w14:textId="77777777" w:rsidR="000D4A2E" w:rsidRPr="007E440A" w:rsidRDefault="000D4A2E" w:rsidP="000D4A2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 N’OUVRIR QU’EN SEANCE DE DEPOUILLEMENT DES OFFRES</w:t>
      </w:r>
    </w:p>
    <w:p w14:paraId="40A777BC" w14:textId="2742240E" w:rsidR="00620DF2" w:rsidRPr="00F52469" w:rsidRDefault="009367E7" w:rsidP="00F52469">
      <w:pPr>
        <w:jc w:val="both"/>
        <w:rPr>
          <w:sz w:val="24"/>
        </w:rPr>
      </w:pPr>
      <w:r w:rsidRPr="009367E7">
        <w:rPr>
          <w:sz w:val="24"/>
        </w:rPr>
        <w:t>Pour obtenir tout renseignement complémentaire qui leur serait nécessaire au cours de l’élaboration de leur offre, les titulaires de l’accord-cadre</w:t>
      </w:r>
      <w:r w:rsidR="0098360C">
        <w:rPr>
          <w:sz w:val="24"/>
        </w:rPr>
        <w:t xml:space="preserve"> </w:t>
      </w:r>
      <w:r w:rsidRPr="009367E7">
        <w:rPr>
          <w:sz w:val="24"/>
        </w:rPr>
        <w:t xml:space="preserve">pourront s’adresser </w:t>
      </w:r>
      <w:r w:rsidR="0048125A">
        <w:rPr>
          <w:sz w:val="24"/>
        </w:rPr>
        <w:t xml:space="preserve">au FCH </w:t>
      </w:r>
      <w:r w:rsidRPr="009367E7">
        <w:rPr>
          <w:sz w:val="24"/>
        </w:rPr>
        <w:t xml:space="preserve">par courriel à l’adresse suivante : </w:t>
      </w:r>
      <w:hyperlink r:id="rId11" w:history="1">
        <w:r w:rsidR="00AE150D" w:rsidRPr="00F24A51">
          <w:rPr>
            <w:rStyle w:val="Lienhypertexte"/>
            <w:sz w:val="24"/>
          </w:rPr>
          <w:t>ccastelli@fsh.nc</w:t>
        </w:r>
      </w:hyperlink>
      <w:r w:rsidR="0048125A" w:rsidRPr="00AE150D">
        <w:rPr>
          <w:sz w:val="24"/>
        </w:rPr>
        <w:t>.</w:t>
      </w:r>
    </w:p>
    <w:p w14:paraId="73A94B79" w14:textId="77777777" w:rsidR="009367E7" w:rsidRPr="009367E7" w:rsidRDefault="009367E7" w:rsidP="000D4A2E">
      <w:pPr>
        <w:pStyle w:val="Titre3"/>
      </w:pPr>
      <w:bookmarkStart w:id="26" w:name="_Toc145312183"/>
      <w:r w:rsidRPr="009367E7">
        <w:t>Critères de jugement des offres</w:t>
      </w:r>
      <w:bookmarkEnd w:id="26"/>
      <w:r w:rsidRPr="009367E7">
        <w:t xml:space="preserve"> </w:t>
      </w:r>
    </w:p>
    <w:p w14:paraId="767F8E7B" w14:textId="77777777" w:rsidR="00AE150D" w:rsidRDefault="00AE150D" w:rsidP="00AE150D">
      <w:pPr>
        <w:jc w:val="both"/>
        <w:rPr>
          <w:sz w:val="24"/>
          <w:highlight w:val="yellow"/>
        </w:rPr>
      </w:pPr>
      <w:r>
        <w:rPr>
          <w:sz w:val="24"/>
        </w:rPr>
        <w:t>Pour déterminer les offres correspondantes au mieux au besoin exprimé la commission d’appel d’offres prendra en compte les critères et sous-critères de pondération ci-dessous lesquels demeure un outil d’aide à la décision de cette dernière sans l’engager définitivement.</w:t>
      </w:r>
    </w:p>
    <w:tbl>
      <w:tblPr>
        <w:tblStyle w:val="Grilledutableau"/>
        <w:tblW w:w="0" w:type="auto"/>
        <w:tblLook w:val="04A0" w:firstRow="1" w:lastRow="0" w:firstColumn="1" w:lastColumn="0" w:noHBand="0" w:noVBand="1"/>
      </w:tblPr>
      <w:tblGrid>
        <w:gridCol w:w="6374"/>
        <w:gridCol w:w="1985"/>
      </w:tblGrid>
      <w:tr w:rsidR="00051DE5" w14:paraId="225153FB" w14:textId="77777777" w:rsidTr="00051DE5">
        <w:tc>
          <w:tcPr>
            <w:tcW w:w="6374" w:type="dxa"/>
          </w:tcPr>
          <w:p w14:paraId="06A7268E" w14:textId="77777777" w:rsidR="00051DE5" w:rsidRPr="00AE150D" w:rsidRDefault="00051DE5" w:rsidP="00084A8D">
            <w:pPr>
              <w:jc w:val="both"/>
              <w:rPr>
                <w:sz w:val="24"/>
              </w:rPr>
            </w:pPr>
            <w:r w:rsidRPr="00AE150D">
              <w:rPr>
                <w:b/>
                <w:color w:val="17365D" w:themeColor="text2" w:themeShade="BF"/>
                <w:sz w:val="24"/>
              </w:rPr>
              <w:t>Critères</w:t>
            </w:r>
          </w:p>
        </w:tc>
        <w:tc>
          <w:tcPr>
            <w:tcW w:w="1985" w:type="dxa"/>
          </w:tcPr>
          <w:p w14:paraId="7EABDD2F" w14:textId="77777777" w:rsidR="00051DE5" w:rsidRPr="00AE150D" w:rsidRDefault="00051DE5" w:rsidP="00084A8D">
            <w:pPr>
              <w:jc w:val="both"/>
              <w:rPr>
                <w:sz w:val="24"/>
              </w:rPr>
            </w:pPr>
            <w:r w:rsidRPr="00AE150D">
              <w:rPr>
                <w:b/>
                <w:color w:val="17365D" w:themeColor="text2" w:themeShade="BF"/>
                <w:sz w:val="24"/>
              </w:rPr>
              <w:t>Pondération</w:t>
            </w:r>
          </w:p>
        </w:tc>
      </w:tr>
      <w:tr w:rsidR="00051DE5" w14:paraId="1ACBA064" w14:textId="77777777" w:rsidTr="00051DE5">
        <w:tc>
          <w:tcPr>
            <w:tcW w:w="6374" w:type="dxa"/>
          </w:tcPr>
          <w:p w14:paraId="250F7A0F" w14:textId="21CAC757" w:rsidR="00051DE5" w:rsidRPr="00AE150D" w:rsidRDefault="00051DE5" w:rsidP="00084A8D">
            <w:pPr>
              <w:jc w:val="both"/>
              <w:rPr>
                <w:sz w:val="24"/>
              </w:rPr>
            </w:pPr>
            <w:r w:rsidRPr="00AE150D">
              <w:rPr>
                <w:sz w:val="24"/>
              </w:rPr>
              <w:t>1 – Taux de rétrocession</w:t>
            </w:r>
          </w:p>
        </w:tc>
        <w:tc>
          <w:tcPr>
            <w:tcW w:w="1985" w:type="dxa"/>
          </w:tcPr>
          <w:p w14:paraId="37358211" w14:textId="11A19B07" w:rsidR="00051DE5" w:rsidRPr="00AE150D" w:rsidRDefault="00051DE5" w:rsidP="00D4553E">
            <w:pPr>
              <w:jc w:val="both"/>
              <w:rPr>
                <w:sz w:val="24"/>
              </w:rPr>
            </w:pPr>
            <w:r w:rsidRPr="00AE150D">
              <w:rPr>
                <w:sz w:val="24"/>
              </w:rPr>
              <w:t>1</w:t>
            </w:r>
            <w:r w:rsidR="00D4553E" w:rsidRPr="00AE150D">
              <w:rPr>
                <w:sz w:val="24"/>
              </w:rPr>
              <w:t>1</w:t>
            </w:r>
          </w:p>
        </w:tc>
      </w:tr>
      <w:tr w:rsidR="00051DE5" w14:paraId="7197C2CE" w14:textId="77777777" w:rsidTr="00051DE5">
        <w:tc>
          <w:tcPr>
            <w:tcW w:w="6374" w:type="dxa"/>
          </w:tcPr>
          <w:p w14:paraId="10D4EA7B" w14:textId="36F3B970" w:rsidR="00051DE5" w:rsidRPr="00AE150D" w:rsidRDefault="00051DE5" w:rsidP="00AB2E62">
            <w:pPr>
              <w:jc w:val="both"/>
              <w:rPr>
                <w:sz w:val="24"/>
              </w:rPr>
            </w:pPr>
            <w:r w:rsidRPr="00AB2E62">
              <w:rPr>
                <w:sz w:val="24"/>
              </w:rPr>
              <w:t xml:space="preserve">2 – </w:t>
            </w:r>
            <w:r w:rsidR="00AB2E62">
              <w:rPr>
                <w:sz w:val="24"/>
              </w:rPr>
              <w:t xml:space="preserve">Délais d’engagement et d’instruction </w:t>
            </w:r>
            <w:r w:rsidR="008361D1" w:rsidRPr="00AB2E62">
              <w:rPr>
                <w:sz w:val="24"/>
              </w:rPr>
              <w:t>du dossier d’agrément</w:t>
            </w:r>
          </w:p>
        </w:tc>
        <w:tc>
          <w:tcPr>
            <w:tcW w:w="1985" w:type="dxa"/>
          </w:tcPr>
          <w:p w14:paraId="14F40CB2" w14:textId="2A315A8C" w:rsidR="00051DE5" w:rsidRPr="00AE150D" w:rsidRDefault="00D4461F" w:rsidP="00084A8D">
            <w:pPr>
              <w:jc w:val="both"/>
              <w:rPr>
                <w:sz w:val="24"/>
              </w:rPr>
            </w:pPr>
            <w:r w:rsidRPr="00AE150D">
              <w:rPr>
                <w:sz w:val="24"/>
              </w:rPr>
              <w:t>5</w:t>
            </w:r>
          </w:p>
        </w:tc>
      </w:tr>
      <w:tr w:rsidR="00051DE5" w14:paraId="1C98ADF9" w14:textId="77777777" w:rsidTr="00051DE5">
        <w:tc>
          <w:tcPr>
            <w:tcW w:w="6374" w:type="dxa"/>
          </w:tcPr>
          <w:p w14:paraId="6619573D" w14:textId="11A4A3F6" w:rsidR="00051DE5" w:rsidRPr="00AE150D" w:rsidRDefault="00D4461F" w:rsidP="00084A8D">
            <w:pPr>
              <w:jc w:val="both"/>
              <w:rPr>
                <w:sz w:val="24"/>
              </w:rPr>
            </w:pPr>
            <w:r w:rsidRPr="00AE150D">
              <w:rPr>
                <w:sz w:val="24"/>
              </w:rPr>
              <w:t>3 – Proposition éventuelles d’optimisation du montage</w:t>
            </w:r>
          </w:p>
        </w:tc>
        <w:tc>
          <w:tcPr>
            <w:tcW w:w="1985" w:type="dxa"/>
          </w:tcPr>
          <w:p w14:paraId="0056CA39" w14:textId="2C60D5AF" w:rsidR="00051DE5" w:rsidRPr="00AE150D" w:rsidRDefault="00D4553E" w:rsidP="00084A8D">
            <w:pPr>
              <w:jc w:val="both"/>
              <w:rPr>
                <w:sz w:val="24"/>
              </w:rPr>
            </w:pPr>
            <w:r w:rsidRPr="00AE150D">
              <w:rPr>
                <w:sz w:val="24"/>
              </w:rPr>
              <w:t>3</w:t>
            </w:r>
          </w:p>
        </w:tc>
      </w:tr>
      <w:tr w:rsidR="00051DE5" w14:paraId="5F2C34F8" w14:textId="77777777" w:rsidTr="00051DE5">
        <w:tc>
          <w:tcPr>
            <w:tcW w:w="6374" w:type="dxa"/>
          </w:tcPr>
          <w:p w14:paraId="2856E4F4" w14:textId="7A0F8ACD" w:rsidR="00051DE5" w:rsidRPr="00AE150D" w:rsidRDefault="00D4461F" w:rsidP="00084A8D">
            <w:pPr>
              <w:jc w:val="both"/>
              <w:rPr>
                <w:sz w:val="24"/>
              </w:rPr>
            </w:pPr>
            <w:r w:rsidRPr="00AE150D">
              <w:rPr>
                <w:sz w:val="24"/>
              </w:rPr>
              <w:t>4 – Critère libre facultatif</w:t>
            </w:r>
          </w:p>
        </w:tc>
        <w:tc>
          <w:tcPr>
            <w:tcW w:w="1985" w:type="dxa"/>
          </w:tcPr>
          <w:p w14:paraId="3E0BA0FF" w14:textId="09A1F3FE" w:rsidR="00051DE5" w:rsidRPr="00AE150D" w:rsidRDefault="00D4553E" w:rsidP="00084A8D">
            <w:pPr>
              <w:jc w:val="both"/>
              <w:rPr>
                <w:sz w:val="24"/>
              </w:rPr>
            </w:pPr>
            <w:r w:rsidRPr="00AE150D">
              <w:rPr>
                <w:sz w:val="24"/>
              </w:rPr>
              <w:t>3</w:t>
            </w:r>
          </w:p>
        </w:tc>
      </w:tr>
    </w:tbl>
    <w:p w14:paraId="247033A1" w14:textId="77777777" w:rsidR="00051DE5" w:rsidRDefault="00051DE5" w:rsidP="009367E7">
      <w:pPr>
        <w:jc w:val="both"/>
        <w:rPr>
          <w:sz w:val="24"/>
        </w:rPr>
      </w:pPr>
    </w:p>
    <w:p w14:paraId="54E19D44" w14:textId="77777777" w:rsidR="00417ECA" w:rsidRPr="00B712A0" w:rsidRDefault="00417ECA" w:rsidP="00DE14AD">
      <w:pPr>
        <w:pStyle w:val="Paragraphedeliste"/>
        <w:numPr>
          <w:ilvl w:val="0"/>
          <w:numId w:val="13"/>
        </w:numPr>
        <w:jc w:val="both"/>
        <w:rPr>
          <w:b/>
          <w:color w:val="17365D" w:themeColor="text2" w:themeShade="BF"/>
          <w:sz w:val="24"/>
        </w:rPr>
      </w:pPr>
      <w:r w:rsidRPr="00B712A0">
        <w:rPr>
          <w:b/>
          <w:color w:val="17365D" w:themeColor="text2" w:themeShade="BF"/>
          <w:sz w:val="24"/>
        </w:rPr>
        <w:t xml:space="preserve">Taux de rétrocession </w:t>
      </w:r>
      <w:r w:rsidR="00BC0266" w:rsidRPr="00B712A0">
        <w:rPr>
          <w:b/>
          <w:color w:val="17365D" w:themeColor="text2" w:themeShade="BF"/>
          <w:sz w:val="24"/>
        </w:rPr>
        <w:t>de l’avantage fiscal</w:t>
      </w:r>
    </w:p>
    <w:p w14:paraId="6E5B1543" w14:textId="77777777" w:rsidR="00417ECA" w:rsidRDefault="00417ECA" w:rsidP="00417ECA">
      <w:pPr>
        <w:jc w:val="both"/>
        <w:rPr>
          <w:sz w:val="24"/>
        </w:rPr>
      </w:pPr>
      <w:r w:rsidRPr="00417ECA">
        <w:rPr>
          <w:sz w:val="24"/>
        </w:rPr>
        <w:t>Les</w:t>
      </w:r>
      <w:r w:rsidR="001F5631">
        <w:rPr>
          <w:sz w:val="24"/>
        </w:rPr>
        <w:t xml:space="preserve"> </w:t>
      </w:r>
      <w:r w:rsidRPr="00417ECA">
        <w:rPr>
          <w:sz w:val="24"/>
        </w:rPr>
        <w:t>titulaires</w:t>
      </w:r>
      <w:r w:rsidR="001F5631">
        <w:rPr>
          <w:sz w:val="24"/>
        </w:rPr>
        <w:t xml:space="preserve"> </w:t>
      </w:r>
      <w:r w:rsidRPr="00417ECA">
        <w:rPr>
          <w:sz w:val="24"/>
        </w:rPr>
        <w:t>de</w:t>
      </w:r>
      <w:r w:rsidR="001F5631">
        <w:rPr>
          <w:sz w:val="24"/>
        </w:rPr>
        <w:t xml:space="preserve"> </w:t>
      </w:r>
      <w:r w:rsidRPr="00417ECA">
        <w:rPr>
          <w:sz w:val="24"/>
        </w:rPr>
        <w:t>l’accord-cadre</w:t>
      </w:r>
      <w:r w:rsidR="001F5631">
        <w:rPr>
          <w:sz w:val="24"/>
        </w:rPr>
        <w:t xml:space="preserve"> </w:t>
      </w:r>
      <w:r w:rsidRPr="00417ECA">
        <w:rPr>
          <w:sz w:val="24"/>
        </w:rPr>
        <w:t>devront</w:t>
      </w:r>
      <w:r w:rsidR="001F5631">
        <w:rPr>
          <w:sz w:val="24"/>
        </w:rPr>
        <w:t xml:space="preserve"> </w:t>
      </w:r>
      <w:r w:rsidRPr="00417ECA">
        <w:rPr>
          <w:sz w:val="24"/>
        </w:rPr>
        <w:t>indiquer</w:t>
      </w:r>
      <w:r w:rsidR="001F5631">
        <w:rPr>
          <w:sz w:val="24"/>
        </w:rPr>
        <w:t xml:space="preserve"> </w:t>
      </w:r>
      <w:r w:rsidRPr="00417ECA">
        <w:rPr>
          <w:sz w:val="24"/>
        </w:rPr>
        <w:t>dans</w:t>
      </w:r>
      <w:r w:rsidR="001F5631">
        <w:rPr>
          <w:sz w:val="24"/>
        </w:rPr>
        <w:t xml:space="preserve"> </w:t>
      </w:r>
      <w:r w:rsidRPr="00417ECA">
        <w:rPr>
          <w:sz w:val="24"/>
        </w:rPr>
        <w:t>leur</w:t>
      </w:r>
      <w:r w:rsidR="001F5631">
        <w:rPr>
          <w:sz w:val="24"/>
        </w:rPr>
        <w:t xml:space="preserve"> </w:t>
      </w:r>
      <w:r w:rsidRPr="00417ECA">
        <w:rPr>
          <w:sz w:val="24"/>
        </w:rPr>
        <w:t>offre</w:t>
      </w:r>
      <w:r w:rsidR="001F5631">
        <w:rPr>
          <w:sz w:val="24"/>
        </w:rPr>
        <w:t xml:space="preserve"> </w:t>
      </w:r>
      <w:r w:rsidRPr="00417ECA">
        <w:rPr>
          <w:sz w:val="24"/>
        </w:rPr>
        <w:t>le</w:t>
      </w:r>
      <w:r w:rsidR="001F5631">
        <w:rPr>
          <w:sz w:val="24"/>
        </w:rPr>
        <w:t xml:space="preserve"> </w:t>
      </w:r>
      <w:r w:rsidRPr="00417ECA">
        <w:rPr>
          <w:sz w:val="24"/>
        </w:rPr>
        <w:t>taux</w:t>
      </w:r>
      <w:r w:rsidR="001F5631">
        <w:rPr>
          <w:sz w:val="24"/>
        </w:rPr>
        <w:t xml:space="preserve"> </w:t>
      </w:r>
      <w:r w:rsidRPr="00417ECA">
        <w:rPr>
          <w:sz w:val="24"/>
        </w:rPr>
        <w:t xml:space="preserve">de </w:t>
      </w:r>
      <w:r w:rsidR="00AE7B93">
        <w:rPr>
          <w:sz w:val="24"/>
        </w:rPr>
        <w:t xml:space="preserve">rétrocession </w:t>
      </w:r>
      <w:r w:rsidR="00263C74">
        <w:rPr>
          <w:sz w:val="24"/>
        </w:rPr>
        <w:t>proposé</w:t>
      </w:r>
      <w:r w:rsidR="00E30968">
        <w:rPr>
          <w:sz w:val="24"/>
        </w:rPr>
        <w:t xml:space="preserve"> en fonction du schéma retenu (IR ou IS)</w:t>
      </w:r>
      <w:r w:rsidR="004A54CF">
        <w:rPr>
          <w:sz w:val="24"/>
        </w:rPr>
        <w:t>.</w:t>
      </w:r>
      <w:r w:rsidR="00263C74">
        <w:rPr>
          <w:sz w:val="24"/>
        </w:rPr>
        <w:t xml:space="preserve"> Ces taux devront être équivalents ou supérieurs à </w:t>
      </w:r>
      <w:r w:rsidR="00E30968">
        <w:rPr>
          <w:sz w:val="24"/>
        </w:rPr>
        <w:t>c</w:t>
      </w:r>
      <w:r w:rsidR="00263C74" w:rsidRPr="00417ECA">
        <w:rPr>
          <w:sz w:val="24"/>
        </w:rPr>
        <w:t>eux proposés dans l’offre déposée pour l’attribution de l’accord-cadre</w:t>
      </w:r>
      <w:r w:rsidR="00864609">
        <w:rPr>
          <w:sz w:val="24"/>
        </w:rPr>
        <w:t>.</w:t>
      </w:r>
    </w:p>
    <w:p w14:paraId="374BAA32" w14:textId="77777777" w:rsidR="00864609" w:rsidRDefault="00864609" w:rsidP="00864609">
      <w:pPr>
        <w:jc w:val="both"/>
        <w:rPr>
          <w:sz w:val="24"/>
        </w:rPr>
      </w:pPr>
      <w:r w:rsidRPr="00864609">
        <w:rPr>
          <w:sz w:val="24"/>
        </w:rPr>
        <w:t xml:space="preserve">Le titulaire ayant proposé le taux le plus élevé obtiendra la </w:t>
      </w:r>
      <w:r>
        <w:rPr>
          <w:sz w:val="24"/>
        </w:rPr>
        <w:t>meilleure note pour ce critère</w:t>
      </w:r>
      <w:r w:rsidRPr="00864609">
        <w:rPr>
          <w:sz w:val="24"/>
        </w:rPr>
        <w:t>.</w:t>
      </w:r>
      <w:r>
        <w:rPr>
          <w:sz w:val="24"/>
        </w:rPr>
        <w:t xml:space="preserve"> </w:t>
      </w:r>
    </w:p>
    <w:p w14:paraId="6CCD0791" w14:textId="18064E4D" w:rsidR="004C4A5E" w:rsidRPr="003D7A03" w:rsidRDefault="004A54CF" w:rsidP="00417ECA">
      <w:pPr>
        <w:jc w:val="both"/>
        <w:rPr>
          <w:i/>
          <w:sz w:val="24"/>
        </w:rPr>
      </w:pPr>
      <w:r w:rsidRPr="003D7A03">
        <w:rPr>
          <w:i/>
          <w:sz w:val="24"/>
        </w:rPr>
        <w:t xml:space="preserve">Ce critère sera noté sur </w:t>
      </w:r>
      <w:r w:rsidR="0009707E">
        <w:rPr>
          <w:i/>
          <w:sz w:val="24"/>
        </w:rPr>
        <w:t>11</w:t>
      </w:r>
      <w:r w:rsidRPr="003D7A03">
        <w:rPr>
          <w:i/>
          <w:sz w:val="24"/>
        </w:rPr>
        <w:t xml:space="preserve"> points.</w:t>
      </w:r>
    </w:p>
    <w:p w14:paraId="10A849DA" w14:textId="05776BDD" w:rsidR="00E30968" w:rsidRPr="00AB2E62" w:rsidRDefault="00084A8D" w:rsidP="00DE14AD">
      <w:pPr>
        <w:pStyle w:val="Paragraphedeliste"/>
        <w:numPr>
          <w:ilvl w:val="0"/>
          <w:numId w:val="13"/>
        </w:numPr>
        <w:jc w:val="both"/>
        <w:rPr>
          <w:b/>
          <w:color w:val="17365D" w:themeColor="text2" w:themeShade="BF"/>
          <w:sz w:val="24"/>
        </w:rPr>
      </w:pPr>
      <w:r>
        <w:rPr>
          <w:b/>
          <w:color w:val="17365D" w:themeColor="text2" w:themeShade="BF"/>
          <w:sz w:val="24"/>
        </w:rPr>
        <w:t xml:space="preserve">Délais d’engagement et d’instruction </w:t>
      </w:r>
      <w:r w:rsidR="008361D1" w:rsidRPr="00AB2E62">
        <w:rPr>
          <w:b/>
          <w:color w:val="17365D" w:themeColor="text2" w:themeShade="BF"/>
          <w:sz w:val="24"/>
        </w:rPr>
        <w:t>du dossier d’agrément</w:t>
      </w:r>
    </w:p>
    <w:p w14:paraId="2325F38F" w14:textId="77777777" w:rsidR="00522CEC" w:rsidRPr="00AB2E62" w:rsidRDefault="00E30968" w:rsidP="00E30968">
      <w:pPr>
        <w:jc w:val="both"/>
        <w:rPr>
          <w:sz w:val="24"/>
        </w:rPr>
      </w:pPr>
      <w:r w:rsidRPr="00AB2E62">
        <w:rPr>
          <w:sz w:val="24"/>
        </w:rPr>
        <w:t>Les titulaires de l’accord-cadre devront indiquer dans leur offre</w:t>
      </w:r>
      <w:r w:rsidR="00522CEC" w:rsidRPr="00AB2E62">
        <w:rPr>
          <w:sz w:val="24"/>
        </w:rPr>
        <w:t> :</w:t>
      </w:r>
    </w:p>
    <w:p w14:paraId="7429CBB1" w14:textId="7984B743" w:rsidR="00D21152" w:rsidRPr="00AB2E62" w:rsidRDefault="00D21152" w:rsidP="00D21152">
      <w:pPr>
        <w:pStyle w:val="Paragraphedeliste"/>
        <w:numPr>
          <w:ilvl w:val="0"/>
          <w:numId w:val="14"/>
        </w:numPr>
        <w:jc w:val="both"/>
        <w:rPr>
          <w:sz w:val="24"/>
        </w:rPr>
      </w:pPr>
      <w:r w:rsidRPr="00AB2E62">
        <w:rPr>
          <w:sz w:val="24"/>
        </w:rPr>
        <w:lastRenderedPageBreak/>
        <w:t>Le délai maximal auquel ils s’engagent à adresser au FCH la liste complète des pièces à fournir nécessaires à la rédaction de la demande d’acco</w:t>
      </w:r>
      <w:r w:rsidR="00196E92" w:rsidRPr="00AB2E62">
        <w:rPr>
          <w:sz w:val="24"/>
        </w:rPr>
        <w:t>rd préalable auprès de la DGFIP, en indiquant le délai raisonnable de réponse par le FCH.</w:t>
      </w:r>
    </w:p>
    <w:p w14:paraId="01FD73BE" w14:textId="1489590C" w:rsidR="00522CEC" w:rsidRPr="00AB2E62" w:rsidRDefault="00E30968" w:rsidP="00DE14AD">
      <w:pPr>
        <w:pStyle w:val="Paragraphedeliste"/>
        <w:numPr>
          <w:ilvl w:val="0"/>
          <w:numId w:val="14"/>
        </w:numPr>
        <w:jc w:val="both"/>
        <w:rPr>
          <w:sz w:val="24"/>
        </w:rPr>
      </w:pPr>
      <w:proofErr w:type="gramStart"/>
      <w:r w:rsidRPr="00AB2E62">
        <w:rPr>
          <w:sz w:val="24"/>
        </w:rPr>
        <w:t>le</w:t>
      </w:r>
      <w:proofErr w:type="gramEnd"/>
      <w:r w:rsidRPr="00AB2E62">
        <w:rPr>
          <w:sz w:val="24"/>
        </w:rPr>
        <w:t xml:space="preserve"> délai maximal </w:t>
      </w:r>
      <w:r w:rsidR="00522CEC" w:rsidRPr="00AB2E62">
        <w:rPr>
          <w:sz w:val="24"/>
        </w:rPr>
        <w:t>auquel</w:t>
      </w:r>
      <w:r w:rsidRPr="00AB2E62">
        <w:rPr>
          <w:sz w:val="24"/>
        </w:rPr>
        <w:t xml:space="preserve"> ils </w:t>
      </w:r>
      <w:r w:rsidR="00522CEC" w:rsidRPr="00AB2E62">
        <w:rPr>
          <w:sz w:val="24"/>
        </w:rPr>
        <w:t>s’engagent pour rédiger</w:t>
      </w:r>
      <w:r w:rsidRPr="00AB2E62">
        <w:rPr>
          <w:sz w:val="24"/>
        </w:rPr>
        <w:t xml:space="preserve"> la demande d’accord préalable auprès </w:t>
      </w:r>
      <w:r w:rsidR="00522CEC" w:rsidRPr="00AB2E62">
        <w:rPr>
          <w:sz w:val="24"/>
        </w:rPr>
        <w:t xml:space="preserve">de la DGFIP ; </w:t>
      </w:r>
    </w:p>
    <w:p w14:paraId="734DFBBD" w14:textId="77777777" w:rsidR="00522CEC" w:rsidRPr="00AB2E62" w:rsidRDefault="00522CEC" w:rsidP="00DE14AD">
      <w:pPr>
        <w:pStyle w:val="Paragraphedeliste"/>
        <w:numPr>
          <w:ilvl w:val="0"/>
          <w:numId w:val="14"/>
        </w:numPr>
        <w:jc w:val="both"/>
        <w:rPr>
          <w:sz w:val="24"/>
        </w:rPr>
      </w:pPr>
      <w:proofErr w:type="gramStart"/>
      <w:r w:rsidRPr="00AB2E62">
        <w:rPr>
          <w:sz w:val="24"/>
        </w:rPr>
        <w:t>le</w:t>
      </w:r>
      <w:proofErr w:type="gramEnd"/>
      <w:r w:rsidRPr="00AB2E62">
        <w:rPr>
          <w:sz w:val="24"/>
        </w:rPr>
        <w:t xml:space="preserve"> délai maximal auquel ils s’engagent pour répondre aux questions sollicitées par la DGFIP.</w:t>
      </w:r>
      <w:r w:rsidR="00983CAA" w:rsidRPr="00AB2E62">
        <w:rPr>
          <w:sz w:val="24"/>
        </w:rPr>
        <w:t xml:space="preserve"> </w:t>
      </w:r>
    </w:p>
    <w:p w14:paraId="11BF78F4" w14:textId="1D5896F9" w:rsidR="00522CEC" w:rsidRPr="003603F3" w:rsidRDefault="00C00DF0" w:rsidP="00E30968">
      <w:pPr>
        <w:jc w:val="both"/>
        <w:rPr>
          <w:sz w:val="24"/>
        </w:rPr>
      </w:pPr>
      <w:r w:rsidRPr="00AB2E62">
        <w:rPr>
          <w:sz w:val="24"/>
        </w:rPr>
        <w:t>Les délais de rédaction de la demande d’accord préalable et de réponses aux questions sollicitées par la DGFIP</w:t>
      </w:r>
      <w:r w:rsidR="00BC0266" w:rsidRPr="00AB2E62">
        <w:rPr>
          <w:sz w:val="24"/>
        </w:rPr>
        <w:t xml:space="preserve"> doivent être appréciés à partir du moment où le FCH aura transmis l’ensemble des documents nécessaires à la rédaction de la demande d’accord préalable ou</w:t>
      </w:r>
      <w:r w:rsidR="00BC0266" w:rsidRPr="003603F3">
        <w:rPr>
          <w:sz w:val="24"/>
        </w:rPr>
        <w:t xml:space="preserve"> des</w:t>
      </w:r>
      <w:r w:rsidR="00673980">
        <w:rPr>
          <w:sz w:val="24"/>
        </w:rPr>
        <w:t xml:space="preserve"> réponses </w:t>
      </w:r>
      <w:r>
        <w:rPr>
          <w:sz w:val="24"/>
        </w:rPr>
        <w:t xml:space="preserve">aux </w:t>
      </w:r>
      <w:r w:rsidRPr="003603F3">
        <w:rPr>
          <w:sz w:val="24"/>
        </w:rPr>
        <w:t>questions</w:t>
      </w:r>
      <w:r w:rsidR="00BC0266" w:rsidRPr="003603F3">
        <w:rPr>
          <w:sz w:val="24"/>
        </w:rPr>
        <w:t xml:space="preserve"> sollicitées par la DGFIP.</w:t>
      </w:r>
    </w:p>
    <w:p w14:paraId="798FD36C" w14:textId="1BC88775" w:rsidR="00864609" w:rsidRPr="003603F3" w:rsidRDefault="00864609" w:rsidP="00E30968">
      <w:pPr>
        <w:jc w:val="both"/>
        <w:rPr>
          <w:sz w:val="24"/>
        </w:rPr>
      </w:pPr>
      <w:r w:rsidRPr="003603F3">
        <w:rPr>
          <w:sz w:val="24"/>
        </w:rPr>
        <w:t xml:space="preserve">Le titulaire qui proposera </w:t>
      </w:r>
      <w:r w:rsidR="006D7DA4" w:rsidRPr="003603F3">
        <w:rPr>
          <w:sz w:val="24"/>
        </w:rPr>
        <w:t>le</w:t>
      </w:r>
      <w:r w:rsidR="00BC0266" w:rsidRPr="003603F3">
        <w:rPr>
          <w:sz w:val="24"/>
        </w:rPr>
        <w:t>s</w:t>
      </w:r>
      <w:r w:rsidR="006D7DA4" w:rsidRPr="003603F3">
        <w:rPr>
          <w:sz w:val="24"/>
        </w:rPr>
        <w:t xml:space="preserve"> délai</w:t>
      </w:r>
      <w:r w:rsidR="00BC0266" w:rsidRPr="003603F3">
        <w:rPr>
          <w:sz w:val="24"/>
        </w:rPr>
        <w:t>s</w:t>
      </w:r>
      <w:r w:rsidR="006D7DA4" w:rsidRPr="003603F3">
        <w:rPr>
          <w:sz w:val="24"/>
        </w:rPr>
        <w:t xml:space="preserve"> le</w:t>
      </w:r>
      <w:r w:rsidR="00BC0266" w:rsidRPr="003603F3">
        <w:rPr>
          <w:sz w:val="24"/>
        </w:rPr>
        <w:t>s</w:t>
      </w:r>
      <w:r w:rsidR="006D7DA4" w:rsidRPr="003603F3">
        <w:rPr>
          <w:sz w:val="24"/>
        </w:rPr>
        <w:t xml:space="preserve"> plus court</w:t>
      </w:r>
      <w:r w:rsidR="00BC0266" w:rsidRPr="003603F3">
        <w:rPr>
          <w:sz w:val="24"/>
        </w:rPr>
        <w:t>s</w:t>
      </w:r>
      <w:r w:rsidR="00A946C8">
        <w:rPr>
          <w:sz w:val="24"/>
        </w:rPr>
        <w:t>, tout en restant cohérent avec la procédure,</w:t>
      </w:r>
      <w:r w:rsidR="006D7DA4" w:rsidRPr="003603F3">
        <w:rPr>
          <w:sz w:val="24"/>
        </w:rPr>
        <w:t xml:space="preserve"> se verra attribuer la meilleure note pour ce critère.</w:t>
      </w:r>
      <w:r w:rsidR="00BC0266" w:rsidRPr="003603F3">
        <w:rPr>
          <w:sz w:val="24"/>
        </w:rPr>
        <w:t xml:space="preserve"> </w:t>
      </w:r>
    </w:p>
    <w:p w14:paraId="1DAECB93" w14:textId="77777777" w:rsidR="00E30968" w:rsidRPr="003D7A03" w:rsidRDefault="00E30968" w:rsidP="00E30968">
      <w:pPr>
        <w:jc w:val="both"/>
        <w:rPr>
          <w:i/>
          <w:sz w:val="24"/>
        </w:rPr>
      </w:pPr>
      <w:r w:rsidRPr="003D7A03">
        <w:rPr>
          <w:i/>
          <w:sz w:val="24"/>
        </w:rPr>
        <w:t xml:space="preserve">Ce critère sera noté sur </w:t>
      </w:r>
      <w:r w:rsidR="003603F3" w:rsidRPr="003D7A03">
        <w:rPr>
          <w:i/>
          <w:sz w:val="24"/>
        </w:rPr>
        <w:t>5</w:t>
      </w:r>
      <w:r w:rsidRPr="003D7A03">
        <w:rPr>
          <w:i/>
          <w:sz w:val="24"/>
        </w:rPr>
        <w:t xml:space="preserve"> points.</w:t>
      </w:r>
    </w:p>
    <w:p w14:paraId="55C48B43" w14:textId="77777777" w:rsidR="003603F3" w:rsidRPr="003603F3" w:rsidRDefault="003603F3" w:rsidP="003603F3">
      <w:pPr>
        <w:pStyle w:val="Paragraphedeliste"/>
        <w:numPr>
          <w:ilvl w:val="0"/>
          <w:numId w:val="13"/>
        </w:numPr>
        <w:jc w:val="both"/>
        <w:rPr>
          <w:b/>
          <w:color w:val="17365D" w:themeColor="text2" w:themeShade="BF"/>
          <w:sz w:val="24"/>
        </w:rPr>
      </w:pPr>
      <w:r w:rsidRPr="003603F3">
        <w:rPr>
          <w:b/>
          <w:color w:val="17365D" w:themeColor="text2" w:themeShade="BF"/>
          <w:sz w:val="24"/>
        </w:rPr>
        <w:t>Propositions éventuelles d’optimisation du montage ou de la documentation juridique</w:t>
      </w:r>
    </w:p>
    <w:p w14:paraId="701F6067" w14:textId="77777777" w:rsidR="003603F3" w:rsidRPr="003603F3" w:rsidRDefault="003603F3" w:rsidP="003603F3">
      <w:pPr>
        <w:jc w:val="both"/>
        <w:rPr>
          <w:sz w:val="24"/>
        </w:rPr>
      </w:pPr>
      <w:r w:rsidRPr="003603F3">
        <w:rPr>
          <w:sz w:val="24"/>
        </w:rPr>
        <w:t xml:space="preserve">Les titulaires de l’accord-cadre devront indiquer les éventuelles </w:t>
      </w:r>
      <w:r w:rsidR="00FB77E7">
        <w:rPr>
          <w:sz w:val="24"/>
        </w:rPr>
        <w:t>modifications</w:t>
      </w:r>
      <w:r w:rsidRPr="003603F3">
        <w:rPr>
          <w:sz w:val="24"/>
        </w:rPr>
        <w:t xml:space="preserve"> du montage ou de la documentation juridique qu’ils </w:t>
      </w:r>
      <w:r w:rsidR="00FB77E7">
        <w:rPr>
          <w:sz w:val="24"/>
        </w:rPr>
        <w:t xml:space="preserve">souhaitent apporter </w:t>
      </w:r>
      <w:r w:rsidRPr="003603F3">
        <w:rPr>
          <w:sz w:val="24"/>
        </w:rPr>
        <w:t xml:space="preserve">au regard des évolutions réglementaires ou des caractéristiques spécifiques de l’opération visée par le marché subséquent.  </w:t>
      </w:r>
    </w:p>
    <w:p w14:paraId="7EC2522A" w14:textId="77777777" w:rsidR="003603F3" w:rsidRDefault="003603F3" w:rsidP="003603F3">
      <w:pPr>
        <w:jc w:val="both"/>
        <w:rPr>
          <w:sz w:val="24"/>
          <w:highlight w:val="yellow"/>
        </w:rPr>
      </w:pPr>
      <w:r w:rsidRPr="003603F3">
        <w:rPr>
          <w:sz w:val="24"/>
        </w:rPr>
        <w:t xml:space="preserve">Le titulaire ayant proposé des optimisations du schéma qui ira vers la simplicité et la sécurité pour le FCH pourra se voir attribuer </w:t>
      </w:r>
      <w:r w:rsidR="00FB77E7">
        <w:rPr>
          <w:sz w:val="24"/>
        </w:rPr>
        <w:t>les</w:t>
      </w:r>
      <w:r w:rsidRPr="003603F3">
        <w:rPr>
          <w:sz w:val="24"/>
        </w:rPr>
        <w:t xml:space="preserve"> points</w:t>
      </w:r>
      <w:r w:rsidR="00FB77E7">
        <w:rPr>
          <w:sz w:val="24"/>
        </w:rPr>
        <w:t xml:space="preserve"> relatifs à ce critère</w:t>
      </w:r>
      <w:r w:rsidRPr="003603F3">
        <w:rPr>
          <w:sz w:val="24"/>
        </w:rPr>
        <w:t>.</w:t>
      </w:r>
      <w:r>
        <w:rPr>
          <w:sz w:val="24"/>
          <w:highlight w:val="yellow"/>
        </w:rPr>
        <w:t xml:space="preserve"> </w:t>
      </w:r>
    </w:p>
    <w:p w14:paraId="7FD7141C" w14:textId="6A1ED516" w:rsidR="003603F3" w:rsidRPr="003D7A03" w:rsidRDefault="00FB77E7" w:rsidP="00FB77E7">
      <w:pPr>
        <w:jc w:val="both"/>
        <w:rPr>
          <w:i/>
          <w:sz w:val="24"/>
        </w:rPr>
      </w:pPr>
      <w:r w:rsidRPr="003D7A03">
        <w:rPr>
          <w:i/>
          <w:sz w:val="24"/>
        </w:rPr>
        <w:t xml:space="preserve">Ce critère sera noté sur </w:t>
      </w:r>
      <w:r w:rsidR="0009707E">
        <w:rPr>
          <w:i/>
          <w:sz w:val="24"/>
        </w:rPr>
        <w:t>3</w:t>
      </w:r>
      <w:bookmarkStart w:id="27" w:name="_GoBack"/>
      <w:bookmarkEnd w:id="27"/>
      <w:r w:rsidRPr="003D7A03">
        <w:rPr>
          <w:i/>
          <w:sz w:val="24"/>
        </w:rPr>
        <w:t xml:space="preserve"> points.</w:t>
      </w:r>
    </w:p>
    <w:p w14:paraId="13B500B0" w14:textId="54618458" w:rsidR="003D7A03" w:rsidRPr="003603F3" w:rsidRDefault="003D7A03" w:rsidP="003D7A03">
      <w:pPr>
        <w:pStyle w:val="Paragraphedeliste"/>
        <w:numPr>
          <w:ilvl w:val="0"/>
          <w:numId w:val="13"/>
        </w:numPr>
        <w:jc w:val="both"/>
        <w:rPr>
          <w:b/>
          <w:color w:val="17365D" w:themeColor="text2" w:themeShade="BF"/>
          <w:sz w:val="24"/>
        </w:rPr>
      </w:pPr>
      <w:r>
        <w:rPr>
          <w:b/>
          <w:color w:val="17365D" w:themeColor="text2" w:themeShade="BF"/>
          <w:sz w:val="24"/>
        </w:rPr>
        <w:t>Critère libre</w:t>
      </w:r>
      <w:r w:rsidR="00A2200C">
        <w:rPr>
          <w:b/>
          <w:color w:val="17365D" w:themeColor="text2" w:themeShade="BF"/>
          <w:sz w:val="24"/>
        </w:rPr>
        <w:t xml:space="preserve"> facultatif</w:t>
      </w:r>
    </w:p>
    <w:p w14:paraId="5FCD54B6" w14:textId="4AF26E82" w:rsidR="003D7A03" w:rsidRPr="00A2200C" w:rsidRDefault="00B62F45" w:rsidP="003D7A03">
      <w:pPr>
        <w:jc w:val="both"/>
        <w:rPr>
          <w:sz w:val="24"/>
        </w:rPr>
      </w:pPr>
      <w:r>
        <w:rPr>
          <w:sz w:val="24"/>
        </w:rPr>
        <w:t>Le FCH complé</w:t>
      </w:r>
      <w:r w:rsidR="00FD7B3E" w:rsidRPr="00A2200C">
        <w:rPr>
          <w:sz w:val="24"/>
        </w:rPr>
        <w:t>tera les critères de jugement par un critère libre en fonction de la complexité de l’opération soumise aux titulaires du contrat cadre.</w:t>
      </w:r>
    </w:p>
    <w:p w14:paraId="6337BBA2" w14:textId="69E01BB7" w:rsidR="003D7A03" w:rsidRDefault="00EE521D" w:rsidP="003D7A03">
      <w:pPr>
        <w:jc w:val="both"/>
        <w:rPr>
          <w:i/>
          <w:sz w:val="24"/>
        </w:rPr>
      </w:pPr>
      <w:r>
        <w:rPr>
          <w:i/>
          <w:sz w:val="24"/>
        </w:rPr>
        <w:t>Ce critère sera noté sur 3</w:t>
      </w:r>
      <w:r w:rsidR="003D7A03" w:rsidRPr="003D7A03">
        <w:rPr>
          <w:i/>
          <w:sz w:val="24"/>
        </w:rPr>
        <w:t xml:space="preserve"> points.</w:t>
      </w:r>
    </w:p>
    <w:p w14:paraId="255A4926" w14:textId="77777777" w:rsidR="003D7A03" w:rsidRDefault="003D7A03" w:rsidP="00FB77E7">
      <w:pPr>
        <w:jc w:val="both"/>
        <w:rPr>
          <w:rFonts w:asciiTheme="majorHAnsi" w:eastAsiaTheme="majorEastAsia" w:hAnsiTheme="majorHAnsi" w:cstheme="majorBidi"/>
          <w:b/>
          <w:color w:val="17365D" w:themeColor="text2" w:themeShade="BF"/>
          <w:spacing w:val="5"/>
          <w:kern w:val="28"/>
          <w:sz w:val="24"/>
          <w:szCs w:val="24"/>
        </w:rPr>
      </w:pPr>
    </w:p>
    <w:p w14:paraId="792B63F0" w14:textId="77777777" w:rsidR="00E67387" w:rsidRPr="009367E7" w:rsidRDefault="00E67387" w:rsidP="00E67387">
      <w:pPr>
        <w:pStyle w:val="Titre3"/>
      </w:pPr>
      <w:bookmarkStart w:id="28" w:name="_Toc145312184"/>
      <w:r w:rsidRPr="009367E7">
        <w:t>C</w:t>
      </w:r>
      <w:r>
        <w:t>hoix de l’attributaire du marché subséquent</w:t>
      </w:r>
      <w:bookmarkEnd w:id="28"/>
    </w:p>
    <w:p w14:paraId="10A5F270" w14:textId="77777777" w:rsidR="00E67387" w:rsidRPr="00E67387" w:rsidRDefault="00E67387" w:rsidP="00E67387">
      <w:pPr>
        <w:jc w:val="both"/>
        <w:rPr>
          <w:sz w:val="24"/>
        </w:rPr>
      </w:pPr>
      <w:r w:rsidRPr="00E67387">
        <w:rPr>
          <w:sz w:val="24"/>
        </w:rPr>
        <w:t>Sur la base du jugement opéré des offres des titulaires d</w:t>
      </w:r>
      <w:r>
        <w:rPr>
          <w:sz w:val="24"/>
        </w:rPr>
        <w:t xml:space="preserve">e l’accord-cadre et de la note </w:t>
      </w:r>
      <w:r w:rsidRPr="00E67387">
        <w:rPr>
          <w:sz w:val="24"/>
        </w:rPr>
        <w:t>attribuée</w:t>
      </w:r>
      <w:r w:rsidR="0047501B">
        <w:rPr>
          <w:sz w:val="24"/>
        </w:rPr>
        <w:t xml:space="preserve"> </w:t>
      </w:r>
      <w:r w:rsidRPr="00E67387">
        <w:rPr>
          <w:sz w:val="24"/>
        </w:rPr>
        <w:t>à</w:t>
      </w:r>
      <w:r w:rsidR="0047501B">
        <w:rPr>
          <w:sz w:val="24"/>
        </w:rPr>
        <w:t xml:space="preserve"> </w:t>
      </w:r>
      <w:r w:rsidRPr="00E67387">
        <w:rPr>
          <w:sz w:val="24"/>
        </w:rPr>
        <w:t>chaque</w:t>
      </w:r>
      <w:r w:rsidR="0047501B">
        <w:rPr>
          <w:sz w:val="24"/>
        </w:rPr>
        <w:t xml:space="preserve"> </w:t>
      </w:r>
      <w:r w:rsidRPr="00E67387">
        <w:rPr>
          <w:sz w:val="24"/>
        </w:rPr>
        <w:t>offre</w:t>
      </w:r>
      <w:r w:rsidR="0047501B">
        <w:rPr>
          <w:sz w:val="24"/>
        </w:rPr>
        <w:t xml:space="preserve"> </w:t>
      </w:r>
      <w:r w:rsidRPr="00E67387">
        <w:rPr>
          <w:sz w:val="24"/>
        </w:rPr>
        <w:t>résultant</w:t>
      </w:r>
      <w:r w:rsidR="0047501B">
        <w:rPr>
          <w:sz w:val="24"/>
        </w:rPr>
        <w:t xml:space="preserve"> </w:t>
      </w:r>
      <w:r w:rsidRPr="00E67387">
        <w:rPr>
          <w:sz w:val="24"/>
        </w:rPr>
        <w:t>de</w:t>
      </w:r>
      <w:r w:rsidR="0047501B">
        <w:rPr>
          <w:sz w:val="24"/>
        </w:rPr>
        <w:t xml:space="preserve"> </w:t>
      </w:r>
      <w:r w:rsidRPr="00E67387">
        <w:rPr>
          <w:sz w:val="24"/>
        </w:rPr>
        <w:t>l’addition</w:t>
      </w:r>
      <w:r w:rsidR="0047501B">
        <w:rPr>
          <w:sz w:val="24"/>
        </w:rPr>
        <w:t xml:space="preserve"> </w:t>
      </w:r>
      <w:r w:rsidRPr="00E67387">
        <w:rPr>
          <w:sz w:val="24"/>
        </w:rPr>
        <w:t>des</w:t>
      </w:r>
      <w:r w:rsidR="0047501B">
        <w:rPr>
          <w:sz w:val="24"/>
        </w:rPr>
        <w:t xml:space="preserve"> </w:t>
      </w:r>
      <w:r w:rsidRPr="00E67387">
        <w:rPr>
          <w:sz w:val="24"/>
        </w:rPr>
        <w:t>note</w:t>
      </w:r>
      <w:r>
        <w:rPr>
          <w:sz w:val="24"/>
        </w:rPr>
        <w:t>s</w:t>
      </w:r>
      <w:r w:rsidR="0047501B">
        <w:rPr>
          <w:sz w:val="24"/>
        </w:rPr>
        <w:t xml:space="preserve"> </w:t>
      </w:r>
      <w:r>
        <w:rPr>
          <w:sz w:val="24"/>
        </w:rPr>
        <w:t>obtenues</w:t>
      </w:r>
      <w:r w:rsidR="0047501B">
        <w:rPr>
          <w:sz w:val="24"/>
        </w:rPr>
        <w:t xml:space="preserve"> </w:t>
      </w:r>
      <w:r>
        <w:rPr>
          <w:sz w:val="24"/>
        </w:rPr>
        <w:t>par</w:t>
      </w:r>
      <w:r w:rsidR="0047501B">
        <w:rPr>
          <w:sz w:val="24"/>
        </w:rPr>
        <w:t xml:space="preserve"> </w:t>
      </w:r>
      <w:r>
        <w:rPr>
          <w:sz w:val="24"/>
        </w:rPr>
        <w:t>l’offre</w:t>
      </w:r>
      <w:r w:rsidR="0047501B">
        <w:rPr>
          <w:sz w:val="24"/>
        </w:rPr>
        <w:t xml:space="preserve"> </w:t>
      </w:r>
      <w:r>
        <w:rPr>
          <w:sz w:val="24"/>
        </w:rPr>
        <w:t xml:space="preserve">sur </w:t>
      </w:r>
      <w:r w:rsidRPr="00E67387">
        <w:rPr>
          <w:sz w:val="24"/>
        </w:rPr>
        <w:t>l’ensemble des critères, l</w:t>
      </w:r>
      <w:r w:rsidR="0047501B">
        <w:rPr>
          <w:sz w:val="24"/>
        </w:rPr>
        <w:t>e FCH</w:t>
      </w:r>
      <w:r w:rsidRPr="00E67387">
        <w:rPr>
          <w:sz w:val="24"/>
        </w:rPr>
        <w:t xml:space="preserve"> procèdera</w:t>
      </w:r>
      <w:r w:rsidR="0047501B">
        <w:rPr>
          <w:sz w:val="24"/>
        </w:rPr>
        <w:t xml:space="preserve"> </w:t>
      </w:r>
      <w:r w:rsidRPr="00E67387">
        <w:rPr>
          <w:sz w:val="24"/>
        </w:rPr>
        <w:t>à un classement</w:t>
      </w:r>
      <w:r>
        <w:rPr>
          <w:sz w:val="24"/>
        </w:rPr>
        <w:t xml:space="preserve"> des offres</w:t>
      </w:r>
      <w:r w:rsidR="0047501B">
        <w:rPr>
          <w:sz w:val="24"/>
        </w:rPr>
        <w:t xml:space="preserve"> </w:t>
      </w:r>
      <w:r>
        <w:rPr>
          <w:sz w:val="24"/>
        </w:rPr>
        <w:t xml:space="preserve">des titulaires et </w:t>
      </w:r>
      <w:r w:rsidRPr="00E67387">
        <w:rPr>
          <w:sz w:val="24"/>
        </w:rPr>
        <w:t>attribuera le marché subséquent au titulaire de l’accord-c</w:t>
      </w:r>
      <w:r>
        <w:rPr>
          <w:sz w:val="24"/>
        </w:rPr>
        <w:t xml:space="preserve">adre dont l’offre est la mieux </w:t>
      </w:r>
      <w:r w:rsidRPr="00E67387">
        <w:rPr>
          <w:sz w:val="24"/>
        </w:rPr>
        <w:t xml:space="preserve">classée. </w:t>
      </w:r>
    </w:p>
    <w:p w14:paraId="49527D17" w14:textId="77777777" w:rsidR="00E67387" w:rsidRPr="00E67387" w:rsidRDefault="00E67387" w:rsidP="00E67387">
      <w:pPr>
        <w:jc w:val="both"/>
        <w:rPr>
          <w:sz w:val="24"/>
        </w:rPr>
      </w:pPr>
      <w:r w:rsidRPr="00E67387">
        <w:rPr>
          <w:sz w:val="24"/>
        </w:rPr>
        <w:lastRenderedPageBreak/>
        <w:t>En</w:t>
      </w:r>
      <w:r w:rsidR="0047501B">
        <w:rPr>
          <w:sz w:val="24"/>
        </w:rPr>
        <w:t xml:space="preserve"> </w:t>
      </w:r>
      <w:r w:rsidRPr="00E67387">
        <w:rPr>
          <w:sz w:val="24"/>
        </w:rPr>
        <w:t>cas</w:t>
      </w:r>
      <w:r w:rsidR="0047501B">
        <w:rPr>
          <w:sz w:val="24"/>
        </w:rPr>
        <w:t xml:space="preserve"> </w:t>
      </w:r>
      <w:r w:rsidRPr="00E67387">
        <w:rPr>
          <w:sz w:val="24"/>
        </w:rPr>
        <w:t>de</w:t>
      </w:r>
      <w:r w:rsidR="0047501B">
        <w:rPr>
          <w:sz w:val="24"/>
        </w:rPr>
        <w:t xml:space="preserve"> </w:t>
      </w:r>
      <w:r w:rsidRPr="00E67387">
        <w:rPr>
          <w:sz w:val="24"/>
        </w:rPr>
        <w:t>dépassement</w:t>
      </w:r>
      <w:r w:rsidR="0047501B">
        <w:rPr>
          <w:sz w:val="24"/>
        </w:rPr>
        <w:t xml:space="preserve"> </w:t>
      </w:r>
      <w:r w:rsidRPr="00E67387">
        <w:rPr>
          <w:sz w:val="24"/>
        </w:rPr>
        <w:t>de</w:t>
      </w:r>
      <w:r w:rsidR="0047501B">
        <w:rPr>
          <w:sz w:val="24"/>
        </w:rPr>
        <w:t xml:space="preserve"> </w:t>
      </w:r>
      <w:r w:rsidRPr="00E67387">
        <w:rPr>
          <w:sz w:val="24"/>
        </w:rPr>
        <w:t>la</w:t>
      </w:r>
      <w:r w:rsidR="0047501B">
        <w:rPr>
          <w:sz w:val="24"/>
        </w:rPr>
        <w:t xml:space="preserve"> </w:t>
      </w:r>
      <w:r w:rsidRPr="00E67387">
        <w:rPr>
          <w:sz w:val="24"/>
        </w:rPr>
        <w:t>date</w:t>
      </w:r>
      <w:r w:rsidR="0047501B">
        <w:rPr>
          <w:sz w:val="24"/>
        </w:rPr>
        <w:t xml:space="preserve"> </w:t>
      </w:r>
      <w:r w:rsidRPr="00E67387">
        <w:rPr>
          <w:sz w:val="24"/>
        </w:rPr>
        <w:t>prévue</w:t>
      </w:r>
      <w:r w:rsidR="0047501B">
        <w:rPr>
          <w:sz w:val="24"/>
        </w:rPr>
        <w:t xml:space="preserve"> </w:t>
      </w:r>
      <w:r w:rsidRPr="00E67387">
        <w:rPr>
          <w:sz w:val="24"/>
        </w:rPr>
        <w:t>de</w:t>
      </w:r>
      <w:r w:rsidR="0047501B">
        <w:rPr>
          <w:sz w:val="24"/>
        </w:rPr>
        <w:t xml:space="preserve"> </w:t>
      </w:r>
      <w:r w:rsidRPr="00E67387">
        <w:rPr>
          <w:sz w:val="24"/>
        </w:rPr>
        <w:t>remise</w:t>
      </w:r>
      <w:r w:rsidR="0047501B">
        <w:rPr>
          <w:sz w:val="24"/>
        </w:rPr>
        <w:t xml:space="preserve"> </w:t>
      </w:r>
      <w:r w:rsidRPr="00E67387">
        <w:rPr>
          <w:sz w:val="24"/>
        </w:rPr>
        <w:t>de</w:t>
      </w:r>
      <w:r w:rsidR="0047501B">
        <w:rPr>
          <w:sz w:val="24"/>
        </w:rPr>
        <w:t xml:space="preserve"> </w:t>
      </w:r>
      <w:r>
        <w:rPr>
          <w:sz w:val="24"/>
        </w:rPr>
        <w:t>l’offre</w:t>
      </w:r>
      <w:r w:rsidR="0047501B">
        <w:rPr>
          <w:sz w:val="24"/>
        </w:rPr>
        <w:t xml:space="preserve"> </w:t>
      </w:r>
      <w:r>
        <w:rPr>
          <w:sz w:val="24"/>
        </w:rPr>
        <w:t>dans</w:t>
      </w:r>
      <w:r w:rsidR="0047501B">
        <w:rPr>
          <w:sz w:val="24"/>
        </w:rPr>
        <w:t xml:space="preserve"> </w:t>
      </w:r>
      <w:r>
        <w:rPr>
          <w:sz w:val="24"/>
        </w:rPr>
        <w:t>la</w:t>
      </w:r>
      <w:r w:rsidR="0047501B">
        <w:rPr>
          <w:sz w:val="24"/>
        </w:rPr>
        <w:t xml:space="preserve"> </w:t>
      </w:r>
      <w:r>
        <w:rPr>
          <w:sz w:val="24"/>
        </w:rPr>
        <w:t>lettre</w:t>
      </w:r>
      <w:r w:rsidR="0047501B">
        <w:rPr>
          <w:sz w:val="24"/>
        </w:rPr>
        <w:t xml:space="preserve"> </w:t>
      </w:r>
      <w:r>
        <w:rPr>
          <w:sz w:val="24"/>
        </w:rPr>
        <w:t xml:space="preserve">de </w:t>
      </w:r>
      <w:r w:rsidRPr="00E67387">
        <w:rPr>
          <w:sz w:val="24"/>
        </w:rPr>
        <w:t>consultation</w:t>
      </w:r>
      <w:r w:rsidR="0047501B">
        <w:rPr>
          <w:sz w:val="24"/>
        </w:rPr>
        <w:t xml:space="preserve"> </w:t>
      </w:r>
      <w:r w:rsidRPr="00E67387">
        <w:rPr>
          <w:sz w:val="24"/>
        </w:rPr>
        <w:t>visée</w:t>
      </w:r>
      <w:r w:rsidR="0047501B">
        <w:rPr>
          <w:sz w:val="24"/>
        </w:rPr>
        <w:t xml:space="preserve"> </w:t>
      </w:r>
      <w:r w:rsidRPr="00E67387">
        <w:rPr>
          <w:sz w:val="24"/>
        </w:rPr>
        <w:t>au</w:t>
      </w:r>
      <w:r w:rsidR="0047501B">
        <w:rPr>
          <w:sz w:val="24"/>
        </w:rPr>
        <w:t xml:space="preserve"> </w:t>
      </w:r>
      <w:r w:rsidRPr="00E67387">
        <w:rPr>
          <w:sz w:val="24"/>
        </w:rPr>
        <w:t>présent</w:t>
      </w:r>
      <w:r w:rsidR="0047501B">
        <w:rPr>
          <w:sz w:val="24"/>
        </w:rPr>
        <w:t xml:space="preserve"> </w:t>
      </w:r>
      <w:r w:rsidRPr="00E67387">
        <w:rPr>
          <w:sz w:val="24"/>
        </w:rPr>
        <w:t>article,</w:t>
      </w:r>
      <w:r w:rsidR="0047501B">
        <w:rPr>
          <w:sz w:val="24"/>
        </w:rPr>
        <w:t xml:space="preserve"> </w:t>
      </w:r>
      <w:r w:rsidRPr="00E67387">
        <w:rPr>
          <w:sz w:val="24"/>
        </w:rPr>
        <w:t>le</w:t>
      </w:r>
      <w:r w:rsidR="0047501B">
        <w:rPr>
          <w:sz w:val="24"/>
        </w:rPr>
        <w:t xml:space="preserve"> </w:t>
      </w:r>
      <w:r w:rsidRPr="00E67387">
        <w:rPr>
          <w:sz w:val="24"/>
        </w:rPr>
        <w:t>Titulaire</w:t>
      </w:r>
      <w:r w:rsidR="0047501B">
        <w:rPr>
          <w:sz w:val="24"/>
        </w:rPr>
        <w:t xml:space="preserve"> </w:t>
      </w:r>
      <w:r w:rsidRPr="00E67387">
        <w:rPr>
          <w:sz w:val="24"/>
        </w:rPr>
        <w:t>sera</w:t>
      </w:r>
      <w:r w:rsidR="0047501B">
        <w:rPr>
          <w:sz w:val="24"/>
        </w:rPr>
        <w:t xml:space="preserve"> </w:t>
      </w:r>
      <w:r>
        <w:rPr>
          <w:sz w:val="24"/>
        </w:rPr>
        <w:t>considéré</w:t>
      </w:r>
      <w:r w:rsidR="0047501B">
        <w:rPr>
          <w:sz w:val="24"/>
        </w:rPr>
        <w:t xml:space="preserve"> </w:t>
      </w:r>
      <w:r>
        <w:rPr>
          <w:sz w:val="24"/>
        </w:rPr>
        <w:t>comme</w:t>
      </w:r>
      <w:r w:rsidR="0047501B">
        <w:rPr>
          <w:sz w:val="24"/>
        </w:rPr>
        <w:t xml:space="preserve"> </w:t>
      </w:r>
      <w:r>
        <w:rPr>
          <w:sz w:val="24"/>
        </w:rPr>
        <w:t>n’ayant</w:t>
      </w:r>
      <w:r w:rsidR="0047501B">
        <w:rPr>
          <w:sz w:val="24"/>
        </w:rPr>
        <w:t xml:space="preserve"> </w:t>
      </w:r>
      <w:r>
        <w:rPr>
          <w:sz w:val="24"/>
        </w:rPr>
        <w:t xml:space="preserve">pas </w:t>
      </w:r>
      <w:r w:rsidRPr="00E67387">
        <w:rPr>
          <w:sz w:val="24"/>
        </w:rPr>
        <w:t xml:space="preserve">présenté d’offre. </w:t>
      </w:r>
    </w:p>
    <w:p w14:paraId="7C95C35A" w14:textId="77777777" w:rsidR="00E67387" w:rsidRPr="00E67387" w:rsidRDefault="00E67387" w:rsidP="00E67387">
      <w:pPr>
        <w:jc w:val="both"/>
        <w:rPr>
          <w:sz w:val="24"/>
        </w:rPr>
      </w:pPr>
      <w:r w:rsidRPr="00E67387">
        <w:rPr>
          <w:sz w:val="24"/>
        </w:rPr>
        <w:t>De même en cas de remise d’une offre irrégulière, inacce</w:t>
      </w:r>
      <w:r w:rsidR="0047501B">
        <w:rPr>
          <w:sz w:val="24"/>
        </w:rPr>
        <w:t>ptable ou inappropriée</w:t>
      </w:r>
      <w:r>
        <w:rPr>
          <w:sz w:val="24"/>
        </w:rPr>
        <w:t xml:space="preserve">, le </w:t>
      </w:r>
      <w:r w:rsidR="0047501B">
        <w:rPr>
          <w:sz w:val="24"/>
        </w:rPr>
        <w:t>t</w:t>
      </w:r>
      <w:r>
        <w:rPr>
          <w:sz w:val="24"/>
        </w:rPr>
        <w:t xml:space="preserve">itulaire verra son offre </w:t>
      </w:r>
      <w:r w:rsidRPr="00E67387">
        <w:rPr>
          <w:sz w:val="24"/>
        </w:rPr>
        <w:t>rejetée car non conforme</w:t>
      </w:r>
      <w:r w:rsidR="0047501B">
        <w:rPr>
          <w:sz w:val="24"/>
        </w:rPr>
        <w:t xml:space="preserve"> </w:t>
      </w:r>
      <w:r w:rsidRPr="00E67387">
        <w:rPr>
          <w:sz w:val="24"/>
        </w:rPr>
        <w:t>et ne pourra prétendre à aucune indemnité de ce fait.</w:t>
      </w:r>
      <w:r w:rsidR="0047501B">
        <w:rPr>
          <w:sz w:val="24"/>
        </w:rPr>
        <w:t xml:space="preserve"> </w:t>
      </w:r>
    </w:p>
    <w:p w14:paraId="18745865" w14:textId="77777777" w:rsidR="0047501B" w:rsidRDefault="00E67387" w:rsidP="00E67387">
      <w:pPr>
        <w:jc w:val="both"/>
        <w:rPr>
          <w:sz w:val="24"/>
        </w:rPr>
      </w:pPr>
      <w:r w:rsidRPr="00E67387">
        <w:rPr>
          <w:sz w:val="24"/>
        </w:rPr>
        <w:t>En</w:t>
      </w:r>
      <w:r w:rsidR="0047501B">
        <w:rPr>
          <w:sz w:val="24"/>
        </w:rPr>
        <w:t xml:space="preserve"> </w:t>
      </w:r>
      <w:r w:rsidRPr="00E67387">
        <w:rPr>
          <w:sz w:val="24"/>
        </w:rPr>
        <w:t>cas</w:t>
      </w:r>
      <w:r w:rsidR="0047501B">
        <w:rPr>
          <w:sz w:val="24"/>
        </w:rPr>
        <w:t xml:space="preserve"> </w:t>
      </w:r>
      <w:r w:rsidRPr="00E67387">
        <w:rPr>
          <w:sz w:val="24"/>
        </w:rPr>
        <w:t>d’offres</w:t>
      </w:r>
      <w:r w:rsidR="0047501B">
        <w:rPr>
          <w:sz w:val="24"/>
        </w:rPr>
        <w:t xml:space="preserve"> </w:t>
      </w:r>
      <w:r w:rsidRPr="00E67387">
        <w:rPr>
          <w:sz w:val="24"/>
        </w:rPr>
        <w:t>équivalentes,</w:t>
      </w:r>
      <w:r w:rsidR="0047501B">
        <w:rPr>
          <w:sz w:val="24"/>
        </w:rPr>
        <w:t xml:space="preserve"> </w:t>
      </w:r>
      <w:r w:rsidRPr="00E67387">
        <w:rPr>
          <w:sz w:val="24"/>
        </w:rPr>
        <w:t>le</w:t>
      </w:r>
      <w:r w:rsidR="0047501B">
        <w:rPr>
          <w:sz w:val="24"/>
        </w:rPr>
        <w:t xml:space="preserve"> </w:t>
      </w:r>
      <w:r w:rsidRPr="00E67387">
        <w:rPr>
          <w:sz w:val="24"/>
        </w:rPr>
        <w:t>marché</w:t>
      </w:r>
      <w:r w:rsidR="0047501B">
        <w:rPr>
          <w:sz w:val="24"/>
        </w:rPr>
        <w:t xml:space="preserve"> </w:t>
      </w:r>
      <w:r w:rsidRPr="00E67387">
        <w:rPr>
          <w:sz w:val="24"/>
        </w:rPr>
        <w:t>subséquent sera</w:t>
      </w:r>
      <w:r w:rsidR="0047501B">
        <w:rPr>
          <w:sz w:val="24"/>
        </w:rPr>
        <w:t xml:space="preserve"> </w:t>
      </w:r>
      <w:r w:rsidRPr="00E67387">
        <w:rPr>
          <w:sz w:val="24"/>
        </w:rPr>
        <w:t>a</w:t>
      </w:r>
      <w:r>
        <w:rPr>
          <w:sz w:val="24"/>
        </w:rPr>
        <w:t>ttribué</w:t>
      </w:r>
      <w:r w:rsidR="0047501B">
        <w:rPr>
          <w:sz w:val="24"/>
        </w:rPr>
        <w:t xml:space="preserve"> </w:t>
      </w:r>
      <w:r>
        <w:rPr>
          <w:sz w:val="24"/>
        </w:rPr>
        <w:t>à</w:t>
      </w:r>
      <w:r w:rsidR="0047501B">
        <w:rPr>
          <w:sz w:val="24"/>
        </w:rPr>
        <w:t xml:space="preserve"> </w:t>
      </w:r>
      <w:r>
        <w:rPr>
          <w:sz w:val="24"/>
        </w:rPr>
        <w:t>l’attributaire</w:t>
      </w:r>
      <w:r w:rsidR="0047501B">
        <w:rPr>
          <w:sz w:val="24"/>
        </w:rPr>
        <w:t xml:space="preserve"> </w:t>
      </w:r>
      <w:r>
        <w:rPr>
          <w:sz w:val="24"/>
        </w:rPr>
        <w:t xml:space="preserve">de </w:t>
      </w:r>
      <w:r w:rsidRPr="00E67387">
        <w:rPr>
          <w:sz w:val="24"/>
        </w:rPr>
        <w:t>l’accord-cadre</w:t>
      </w:r>
      <w:r w:rsidR="0047501B">
        <w:rPr>
          <w:sz w:val="24"/>
        </w:rPr>
        <w:t xml:space="preserve"> </w:t>
      </w:r>
      <w:r w:rsidRPr="00E67387">
        <w:rPr>
          <w:sz w:val="24"/>
        </w:rPr>
        <w:t>ayant</w:t>
      </w:r>
      <w:r w:rsidR="0047501B">
        <w:rPr>
          <w:sz w:val="24"/>
        </w:rPr>
        <w:t xml:space="preserve"> </w:t>
      </w:r>
      <w:r w:rsidRPr="00E67387">
        <w:rPr>
          <w:sz w:val="24"/>
        </w:rPr>
        <w:t>obtenu</w:t>
      </w:r>
      <w:r w:rsidR="0047501B">
        <w:rPr>
          <w:sz w:val="24"/>
        </w:rPr>
        <w:t xml:space="preserve"> </w:t>
      </w:r>
      <w:r w:rsidRPr="00E67387">
        <w:rPr>
          <w:sz w:val="24"/>
        </w:rPr>
        <w:t>le</w:t>
      </w:r>
      <w:r w:rsidR="0047501B">
        <w:rPr>
          <w:sz w:val="24"/>
        </w:rPr>
        <w:t xml:space="preserve"> </w:t>
      </w:r>
      <w:r w:rsidRPr="00E67387">
        <w:rPr>
          <w:sz w:val="24"/>
        </w:rPr>
        <w:t>meilleur</w:t>
      </w:r>
      <w:r w:rsidR="0047501B">
        <w:rPr>
          <w:sz w:val="24"/>
        </w:rPr>
        <w:t xml:space="preserve"> </w:t>
      </w:r>
      <w:r w:rsidRPr="00E67387">
        <w:rPr>
          <w:sz w:val="24"/>
        </w:rPr>
        <w:t>classement</w:t>
      </w:r>
      <w:r w:rsidR="0047501B">
        <w:rPr>
          <w:sz w:val="24"/>
        </w:rPr>
        <w:t xml:space="preserve"> </w:t>
      </w:r>
      <w:r w:rsidRPr="00E67387">
        <w:rPr>
          <w:sz w:val="24"/>
        </w:rPr>
        <w:t>dans</w:t>
      </w:r>
      <w:r w:rsidR="0047501B">
        <w:rPr>
          <w:sz w:val="24"/>
        </w:rPr>
        <w:t xml:space="preserve"> </w:t>
      </w:r>
      <w:r w:rsidRPr="00E67387">
        <w:rPr>
          <w:sz w:val="24"/>
        </w:rPr>
        <w:t>l</w:t>
      </w:r>
      <w:r>
        <w:rPr>
          <w:sz w:val="24"/>
        </w:rPr>
        <w:t>e</w:t>
      </w:r>
      <w:r w:rsidR="0047501B">
        <w:rPr>
          <w:sz w:val="24"/>
        </w:rPr>
        <w:t xml:space="preserve"> </w:t>
      </w:r>
      <w:r>
        <w:rPr>
          <w:sz w:val="24"/>
        </w:rPr>
        <w:t>cadre</w:t>
      </w:r>
      <w:r w:rsidR="0047501B">
        <w:rPr>
          <w:sz w:val="24"/>
        </w:rPr>
        <w:t xml:space="preserve"> </w:t>
      </w:r>
      <w:r>
        <w:rPr>
          <w:sz w:val="24"/>
        </w:rPr>
        <w:t>de</w:t>
      </w:r>
      <w:r w:rsidR="0047501B">
        <w:rPr>
          <w:sz w:val="24"/>
        </w:rPr>
        <w:t xml:space="preserve"> </w:t>
      </w:r>
      <w:r>
        <w:rPr>
          <w:sz w:val="24"/>
        </w:rPr>
        <w:t>la</w:t>
      </w:r>
      <w:r w:rsidR="0047501B">
        <w:rPr>
          <w:sz w:val="24"/>
        </w:rPr>
        <w:t xml:space="preserve"> </w:t>
      </w:r>
      <w:r>
        <w:rPr>
          <w:sz w:val="24"/>
        </w:rPr>
        <w:t xml:space="preserve">consultation </w:t>
      </w:r>
      <w:r w:rsidRPr="00E67387">
        <w:rPr>
          <w:sz w:val="24"/>
        </w:rPr>
        <w:t>relative</w:t>
      </w:r>
      <w:r w:rsidR="0047501B">
        <w:rPr>
          <w:sz w:val="24"/>
        </w:rPr>
        <w:t xml:space="preserve"> </w:t>
      </w:r>
      <w:r w:rsidRPr="00E67387">
        <w:rPr>
          <w:sz w:val="24"/>
        </w:rPr>
        <w:t>à</w:t>
      </w:r>
      <w:r w:rsidR="0047501B">
        <w:rPr>
          <w:sz w:val="24"/>
        </w:rPr>
        <w:t xml:space="preserve"> </w:t>
      </w:r>
      <w:r w:rsidRPr="00E67387">
        <w:rPr>
          <w:sz w:val="24"/>
        </w:rPr>
        <w:t>l’attribution</w:t>
      </w:r>
      <w:r w:rsidR="0047501B">
        <w:rPr>
          <w:sz w:val="24"/>
        </w:rPr>
        <w:t xml:space="preserve"> </w:t>
      </w:r>
      <w:r w:rsidRPr="00E67387">
        <w:rPr>
          <w:sz w:val="24"/>
        </w:rPr>
        <w:t>de</w:t>
      </w:r>
      <w:r w:rsidR="0047501B">
        <w:rPr>
          <w:sz w:val="24"/>
        </w:rPr>
        <w:t xml:space="preserve"> </w:t>
      </w:r>
      <w:r w:rsidRPr="00E67387">
        <w:rPr>
          <w:sz w:val="24"/>
        </w:rPr>
        <w:t>l’accord-cadre.</w:t>
      </w:r>
      <w:r w:rsidR="0047501B">
        <w:rPr>
          <w:sz w:val="24"/>
        </w:rPr>
        <w:t xml:space="preserve"> </w:t>
      </w:r>
      <w:r w:rsidRPr="00E67387">
        <w:rPr>
          <w:sz w:val="24"/>
        </w:rPr>
        <w:t>Le</w:t>
      </w:r>
      <w:r w:rsidR="0047501B">
        <w:rPr>
          <w:sz w:val="24"/>
        </w:rPr>
        <w:t xml:space="preserve"> </w:t>
      </w:r>
      <w:r w:rsidRPr="00E67387">
        <w:rPr>
          <w:sz w:val="24"/>
        </w:rPr>
        <w:t>Titulaire</w:t>
      </w:r>
      <w:r w:rsidR="0047501B">
        <w:rPr>
          <w:sz w:val="24"/>
        </w:rPr>
        <w:t xml:space="preserve"> </w:t>
      </w:r>
      <w:r w:rsidRPr="00E67387">
        <w:rPr>
          <w:sz w:val="24"/>
        </w:rPr>
        <w:t>ne</w:t>
      </w:r>
      <w:r w:rsidR="0047501B">
        <w:rPr>
          <w:sz w:val="24"/>
        </w:rPr>
        <w:t xml:space="preserve"> </w:t>
      </w:r>
      <w:r>
        <w:rPr>
          <w:sz w:val="24"/>
        </w:rPr>
        <w:t>pourra</w:t>
      </w:r>
      <w:r w:rsidR="0047501B">
        <w:rPr>
          <w:sz w:val="24"/>
        </w:rPr>
        <w:t xml:space="preserve"> </w:t>
      </w:r>
      <w:r>
        <w:rPr>
          <w:sz w:val="24"/>
        </w:rPr>
        <w:t>prétendre</w:t>
      </w:r>
      <w:r w:rsidR="0047501B">
        <w:rPr>
          <w:sz w:val="24"/>
        </w:rPr>
        <w:t xml:space="preserve"> </w:t>
      </w:r>
      <w:r>
        <w:rPr>
          <w:sz w:val="24"/>
        </w:rPr>
        <w:t>à</w:t>
      </w:r>
      <w:r w:rsidR="0047501B">
        <w:rPr>
          <w:sz w:val="24"/>
        </w:rPr>
        <w:t xml:space="preserve"> </w:t>
      </w:r>
      <w:r>
        <w:rPr>
          <w:sz w:val="24"/>
        </w:rPr>
        <w:t xml:space="preserve">aucune </w:t>
      </w:r>
      <w:r w:rsidRPr="00E67387">
        <w:rPr>
          <w:sz w:val="24"/>
        </w:rPr>
        <w:t xml:space="preserve">indemnité. </w:t>
      </w:r>
    </w:p>
    <w:p w14:paraId="426FE88B" w14:textId="77777777" w:rsidR="00BC0266" w:rsidRDefault="00E67387" w:rsidP="00E67387">
      <w:pPr>
        <w:jc w:val="both"/>
        <w:rPr>
          <w:sz w:val="24"/>
        </w:rPr>
      </w:pPr>
      <w:r w:rsidRPr="00E67387">
        <w:rPr>
          <w:sz w:val="24"/>
        </w:rPr>
        <w:t>Si toutes les offres remises sont irrégulières, ina</w:t>
      </w:r>
      <w:r>
        <w:rPr>
          <w:sz w:val="24"/>
        </w:rPr>
        <w:t xml:space="preserve">cceptables ou inappropriées, </w:t>
      </w:r>
      <w:r w:rsidR="0047501B">
        <w:rPr>
          <w:sz w:val="24"/>
        </w:rPr>
        <w:t>le FCH</w:t>
      </w:r>
      <w:r>
        <w:rPr>
          <w:sz w:val="24"/>
        </w:rPr>
        <w:t xml:space="preserve"> se </w:t>
      </w:r>
      <w:r w:rsidRPr="00E67387">
        <w:rPr>
          <w:sz w:val="24"/>
        </w:rPr>
        <w:t>réserve le droit de négocier avec les titulaires de l’ac</w:t>
      </w:r>
      <w:r>
        <w:rPr>
          <w:sz w:val="24"/>
        </w:rPr>
        <w:t>cord cadre</w:t>
      </w:r>
      <w:r w:rsidR="0047501B">
        <w:rPr>
          <w:sz w:val="24"/>
        </w:rPr>
        <w:t xml:space="preserve"> </w:t>
      </w:r>
      <w:r>
        <w:rPr>
          <w:sz w:val="24"/>
        </w:rPr>
        <w:t xml:space="preserve">ayant présenté des </w:t>
      </w:r>
      <w:r w:rsidRPr="00E67387">
        <w:rPr>
          <w:sz w:val="24"/>
        </w:rPr>
        <w:t>offres inacceptables ou inappropriées en vue de l’attribution du marché subséquent</w:t>
      </w:r>
    </w:p>
    <w:p w14:paraId="5A38EBC5" w14:textId="77777777" w:rsidR="00BC0266" w:rsidRDefault="00BC0266" w:rsidP="00E67387">
      <w:pPr>
        <w:jc w:val="both"/>
        <w:rPr>
          <w:sz w:val="24"/>
        </w:rPr>
      </w:pPr>
    </w:p>
    <w:p w14:paraId="54B9C526" w14:textId="77777777" w:rsidR="00BC0266" w:rsidRPr="00BC0266" w:rsidRDefault="00BC0266" w:rsidP="00BC0266">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29" w:name="_Toc145312185"/>
      <w:r>
        <w:rPr>
          <w:bCs w:val="0"/>
          <w:color w:val="17365D" w:themeColor="text2" w:themeShade="BF"/>
          <w:spacing w:val="5"/>
          <w:kern w:val="28"/>
          <w:sz w:val="28"/>
          <w:szCs w:val="52"/>
        </w:rPr>
        <w:t>Article</w:t>
      </w:r>
      <w:r w:rsidRPr="005852FA">
        <w:rPr>
          <w:bCs w:val="0"/>
          <w:color w:val="17365D" w:themeColor="text2" w:themeShade="BF"/>
          <w:spacing w:val="5"/>
          <w:kern w:val="28"/>
          <w:sz w:val="28"/>
          <w:szCs w:val="52"/>
        </w:rPr>
        <w:t xml:space="preserve"> </w:t>
      </w:r>
      <w:r w:rsidR="006408CE">
        <w:rPr>
          <w:bCs w:val="0"/>
          <w:color w:val="17365D" w:themeColor="text2" w:themeShade="BF"/>
          <w:spacing w:val="5"/>
          <w:kern w:val="28"/>
          <w:sz w:val="28"/>
          <w:szCs w:val="52"/>
        </w:rPr>
        <w:t>9</w:t>
      </w:r>
      <w:r>
        <w:rPr>
          <w:bCs w:val="0"/>
          <w:color w:val="17365D" w:themeColor="text2" w:themeShade="BF"/>
          <w:spacing w:val="5"/>
          <w:kern w:val="28"/>
          <w:sz w:val="28"/>
          <w:szCs w:val="52"/>
        </w:rPr>
        <w:t xml:space="preserve"> –</w:t>
      </w:r>
      <w:r w:rsidRPr="005852FA">
        <w:rPr>
          <w:bCs w:val="0"/>
          <w:color w:val="17365D" w:themeColor="text2" w:themeShade="BF"/>
          <w:spacing w:val="5"/>
          <w:kern w:val="28"/>
          <w:sz w:val="28"/>
          <w:szCs w:val="52"/>
        </w:rPr>
        <w:t xml:space="preserve"> </w:t>
      </w:r>
      <w:r w:rsidRPr="00BC0266">
        <w:rPr>
          <w:bCs w:val="0"/>
          <w:color w:val="17365D" w:themeColor="text2" w:themeShade="BF"/>
          <w:spacing w:val="5"/>
          <w:kern w:val="28"/>
          <w:sz w:val="28"/>
          <w:szCs w:val="52"/>
        </w:rPr>
        <w:t>M</w:t>
      </w:r>
      <w:r>
        <w:rPr>
          <w:bCs w:val="0"/>
          <w:color w:val="17365D" w:themeColor="text2" w:themeShade="BF"/>
          <w:spacing w:val="5"/>
          <w:kern w:val="28"/>
          <w:sz w:val="28"/>
          <w:szCs w:val="52"/>
        </w:rPr>
        <w:t>odalités</w:t>
      </w:r>
      <w:r w:rsidRPr="00BC0266">
        <w:rPr>
          <w:bCs w:val="0"/>
          <w:color w:val="17365D" w:themeColor="text2" w:themeShade="BF"/>
          <w:spacing w:val="5"/>
          <w:kern w:val="28"/>
          <w:sz w:val="28"/>
          <w:szCs w:val="52"/>
        </w:rPr>
        <w:t xml:space="preserve"> </w:t>
      </w:r>
      <w:r>
        <w:rPr>
          <w:bCs w:val="0"/>
          <w:color w:val="17365D" w:themeColor="text2" w:themeShade="BF"/>
          <w:spacing w:val="5"/>
          <w:kern w:val="28"/>
          <w:sz w:val="28"/>
          <w:szCs w:val="52"/>
        </w:rPr>
        <w:t>d’exécution</w:t>
      </w:r>
      <w:r w:rsidRPr="00BC0266">
        <w:rPr>
          <w:bCs w:val="0"/>
          <w:color w:val="17365D" w:themeColor="text2" w:themeShade="BF"/>
          <w:spacing w:val="5"/>
          <w:kern w:val="28"/>
          <w:sz w:val="28"/>
          <w:szCs w:val="52"/>
        </w:rPr>
        <w:t xml:space="preserve"> </w:t>
      </w:r>
      <w:r>
        <w:rPr>
          <w:bCs w:val="0"/>
          <w:color w:val="17365D" w:themeColor="text2" w:themeShade="BF"/>
          <w:spacing w:val="5"/>
          <w:kern w:val="28"/>
          <w:sz w:val="28"/>
          <w:szCs w:val="52"/>
        </w:rPr>
        <w:t>des marchés subséquents</w:t>
      </w:r>
      <w:bookmarkEnd w:id="29"/>
    </w:p>
    <w:p w14:paraId="75CD21D0" w14:textId="77777777" w:rsidR="00BC0266" w:rsidRPr="00BC0266" w:rsidRDefault="00BC0266" w:rsidP="00BC0266">
      <w:pPr>
        <w:jc w:val="both"/>
        <w:rPr>
          <w:sz w:val="24"/>
        </w:rPr>
      </w:pPr>
      <w:r w:rsidRPr="00BC0266">
        <w:rPr>
          <w:sz w:val="24"/>
        </w:rPr>
        <w:t>Le</w:t>
      </w:r>
      <w:r>
        <w:rPr>
          <w:sz w:val="24"/>
        </w:rPr>
        <w:t xml:space="preserve"> </w:t>
      </w:r>
      <w:r w:rsidRPr="00BC0266">
        <w:rPr>
          <w:sz w:val="24"/>
        </w:rPr>
        <w:t>marché</w:t>
      </w:r>
      <w:r>
        <w:rPr>
          <w:sz w:val="24"/>
        </w:rPr>
        <w:t xml:space="preserve"> </w:t>
      </w:r>
      <w:r w:rsidRPr="00BC0266">
        <w:rPr>
          <w:sz w:val="24"/>
        </w:rPr>
        <w:t>subséquent</w:t>
      </w:r>
      <w:r>
        <w:rPr>
          <w:sz w:val="24"/>
        </w:rPr>
        <w:t xml:space="preserve"> </w:t>
      </w:r>
      <w:r w:rsidRPr="00BC0266">
        <w:rPr>
          <w:sz w:val="24"/>
        </w:rPr>
        <w:t>fixera,</w:t>
      </w:r>
      <w:r>
        <w:rPr>
          <w:sz w:val="24"/>
        </w:rPr>
        <w:t xml:space="preserve"> </w:t>
      </w:r>
      <w:r w:rsidRPr="00BC0266">
        <w:rPr>
          <w:sz w:val="24"/>
        </w:rPr>
        <w:t>compte</w:t>
      </w:r>
      <w:r>
        <w:rPr>
          <w:sz w:val="24"/>
        </w:rPr>
        <w:t xml:space="preserve"> </w:t>
      </w:r>
      <w:r w:rsidRPr="00BC0266">
        <w:rPr>
          <w:sz w:val="24"/>
        </w:rPr>
        <w:t>tenu</w:t>
      </w:r>
      <w:r>
        <w:rPr>
          <w:sz w:val="24"/>
        </w:rPr>
        <w:t xml:space="preserve"> </w:t>
      </w:r>
      <w:r w:rsidRPr="00BC0266">
        <w:rPr>
          <w:sz w:val="24"/>
        </w:rPr>
        <w:t>des</w:t>
      </w:r>
      <w:r>
        <w:rPr>
          <w:sz w:val="24"/>
        </w:rPr>
        <w:t xml:space="preserve"> </w:t>
      </w:r>
      <w:r w:rsidRPr="00BC0266">
        <w:rPr>
          <w:sz w:val="24"/>
        </w:rPr>
        <w:t>caract</w:t>
      </w:r>
      <w:r>
        <w:rPr>
          <w:sz w:val="24"/>
        </w:rPr>
        <w:t xml:space="preserve">éristiques de l’opération, </w:t>
      </w:r>
      <w:r w:rsidRPr="00BC0266">
        <w:rPr>
          <w:sz w:val="24"/>
        </w:rPr>
        <w:t xml:space="preserve">notamment : </w:t>
      </w:r>
    </w:p>
    <w:p w14:paraId="59970EB0" w14:textId="77777777" w:rsidR="00E229F9" w:rsidRDefault="00E229F9" w:rsidP="00DE14AD">
      <w:pPr>
        <w:pStyle w:val="Paragraphedeliste"/>
        <w:numPr>
          <w:ilvl w:val="0"/>
          <w:numId w:val="13"/>
        </w:numPr>
        <w:jc w:val="both"/>
        <w:rPr>
          <w:sz w:val="24"/>
        </w:rPr>
      </w:pPr>
      <w:proofErr w:type="gramStart"/>
      <w:r>
        <w:rPr>
          <w:sz w:val="24"/>
        </w:rPr>
        <w:t>le</w:t>
      </w:r>
      <w:proofErr w:type="gramEnd"/>
      <w:r>
        <w:rPr>
          <w:sz w:val="24"/>
        </w:rPr>
        <w:t xml:space="preserve"> schéma retenu ;</w:t>
      </w:r>
    </w:p>
    <w:p w14:paraId="131B65F5" w14:textId="77777777" w:rsidR="00BC0266" w:rsidRDefault="00BC0266" w:rsidP="00DE14AD">
      <w:pPr>
        <w:pStyle w:val="Paragraphedeliste"/>
        <w:numPr>
          <w:ilvl w:val="0"/>
          <w:numId w:val="13"/>
        </w:numPr>
        <w:jc w:val="both"/>
        <w:rPr>
          <w:sz w:val="24"/>
        </w:rPr>
      </w:pPr>
      <w:proofErr w:type="gramStart"/>
      <w:r w:rsidRPr="00BC0266">
        <w:rPr>
          <w:sz w:val="24"/>
        </w:rPr>
        <w:t>le</w:t>
      </w:r>
      <w:proofErr w:type="gramEnd"/>
      <w:r w:rsidRPr="00BC0266">
        <w:rPr>
          <w:sz w:val="24"/>
        </w:rPr>
        <w:t xml:space="preserve"> taux de rétrocession de l’avantage fiscal au FCH ; </w:t>
      </w:r>
    </w:p>
    <w:p w14:paraId="1D2330B0" w14:textId="77777777" w:rsidR="00E229F9" w:rsidRPr="00BC0266" w:rsidRDefault="00E229F9" w:rsidP="00DE14AD">
      <w:pPr>
        <w:pStyle w:val="Paragraphedeliste"/>
        <w:numPr>
          <w:ilvl w:val="0"/>
          <w:numId w:val="13"/>
        </w:numPr>
        <w:jc w:val="both"/>
        <w:rPr>
          <w:sz w:val="24"/>
        </w:rPr>
      </w:pPr>
      <w:proofErr w:type="gramStart"/>
      <w:r>
        <w:rPr>
          <w:sz w:val="24"/>
        </w:rPr>
        <w:t>les</w:t>
      </w:r>
      <w:proofErr w:type="gramEnd"/>
      <w:r>
        <w:rPr>
          <w:sz w:val="24"/>
        </w:rPr>
        <w:t xml:space="preserve"> propositions d’optimisation du schéma initial ;</w:t>
      </w:r>
    </w:p>
    <w:p w14:paraId="6A0F8AC1" w14:textId="77777777" w:rsidR="00BC0266" w:rsidRPr="00BC0266" w:rsidRDefault="00BC0266" w:rsidP="00DE14AD">
      <w:pPr>
        <w:pStyle w:val="Paragraphedeliste"/>
        <w:numPr>
          <w:ilvl w:val="0"/>
          <w:numId w:val="13"/>
        </w:numPr>
        <w:jc w:val="both"/>
        <w:rPr>
          <w:sz w:val="24"/>
        </w:rPr>
      </w:pPr>
      <w:proofErr w:type="gramStart"/>
      <w:r w:rsidRPr="00BC0266">
        <w:rPr>
          <w:sz w:val="24"/>
        </w:rPr>
        <w:t>le</w:t>
      </w:r>
      <w:proofErr w:type="gramEnd"/>
      <w:r w:rsidRPr="00BC0266">
        <w:rPr>
          <w:sz w:val="24"/>
        </w:rPr>
        <w:t xml:space="preserve"> délai de rédaction de la demande d’accord préalable et de réponses aux ques</w:t>
      </w:r>
      <w:r w:rsidR="00F305D4">
        <w:rPr>
          <w:sz w:val="24"/>
        </w:rPr>
        <w:t>tions sollicitées par la DGFIP.</w:t>
      </w:r>
    </w:p>
    <w:p w14:paraId="714AFE81" w14:textId="77777777" w:rsidR="00BC0266" w:rsidRDefault="00BC0266" w:rsidP="00BC0266">
      <w:pPr>
        <w:jc w:val="both"/>
        <w:rPr>
          <w:sz w:val="24"/>
        </w:rPr>
      </w:pPr>
      <w:r w:rsidRPr="00BC0266">
        <w:rPr>
          <w:sz w:val="24"/>
        </w:rPr>
        <w:t xml:space="preserve">La mission démarre à la notification du marché subséquent. </w:t>
      </w:r>
    </w:p>
    <w:p w14:paraId="65128662" w14:textId="77777777" w:rsidR="00983CAA" w:rsidRPr="00BC0266" w:rsidRDefault="00983CAA" w:rsidP="00BC0266">
      <w:pPr>
        <w:jc w:val="both"/>
        <w:rPr>
          <w:sz w:val="24"/>
        </w:rPr>
      </w:pPr>
    </w:p>
    <w:p w14:paraId="10B39046" w14:textId="77777777" w:rsidR="00983CAA" w:rsidRPr="00BC0266" w:rsidRDefault="00983CAA" w:rsidP="00983CAA">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30" w:name="_Toc145312186"/>
      <w:r>
        <w:rPr>
          <w:bCs w:val="0"/>
          <w:color w:val="17365D" w:themeColor="text2" w:themeShade="BF"/>
          <w:spacing w:val="5"/>
          <w:kern w:val="28"/>
          <w:sz w:val="28"/>
          <w:szCs w:val="52"/>
        </w:rPr>
        <w:t>Article</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1</w:t>
      </w:r>
      <w:r w:rsidR="006408CE">
        <w:rPr>
          <w:bCs w:val="0"/>
          <w:color w:val="17365D" w:themeColor="text2" w:themeShade="BF"/>
          <w:spacing w:val="5"/>
          <w:kern w:val="28"/>
          <w:sz w:val="28"/>
          <w:szCs w:val="52"/>
        </w:rPr>
        <w:t>0</w:t>
      </w:r>
      <w:r>
        <w:rPr>
          <w:bCs w:val="0"/>
          <w:color w:val="17365D" w:themeColor="text2" w:themeShade="BF"/>
          <w:spacing w:val="5"/>
          <w:kern w:val="28"/>
          <w:sz w:val="28"/>
          <w:szCs w:val="52"/>
        </w:rPr>
        <w:t xml:space="preserve"> –</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Délais d’exécution</w:t>
      </w:r>
      <w:bookmarkEnd w:id="30"/>
    </w:p>
    <w:p w14:paraId="53B27CDC" w14:textId="77777777" w:rsidR="00BC0266" w:rsidRPr="00BC0266" w:rsidRDefault="00BC0266" w:rsidP="00BC0266">
      <w:pPr>
        <w:jc w:val="both"/>
        <w:rPr>
          <w:sz w:val="24"/>
        </w:rPr>
      </w:pPr>
      <w:r w:rsidRPr="00BC0266">
        <w:rPr>
          <w:sz w:val="24"/>
        </w:rPr>
        <w:t>Sans préjudice des engagements pris par le Titulaire au ti</w:t>
      </w:r>
      <w:r>
        <w:rPr>
          <w:sz w:val="24"/>
        </w:rPr>
        <w:t xml:space="preserve">tre du présent accord-cadre en </w:t>
      </w:r>
      <w:r w:rsidRPr="00BC0266">
        <w:rPr>
          <w:sz w:val="24"/>
        </w:rPr>
        <w:t>termes de délais de placement et de versement de la rétroc</w:t>
      </w:r>
      <w:r>
        <w:rPr>
          <w:sz w:val="24"/>
        </w:rPr>
        <w:t xml:space="preserve">ession, les délais d’exécution </w:t>
      </w:r>
      <w:r w:rsidRPr="00BC0266">
        <w:rPr>
          <w:sz w:val="24"/>
        </w:rPr>
        <w:t xml:space="preserve">de chaque mission sont fixés par le marché subséquent. </w:t>
      </w:r>
    </w:p>
    <w:p w14:paraId="016CDCF1" w14:textId="77777777" w:rsidR="00BC0266" w:rsidRPr="00BC0266" w:rsidRDefault="00BC0266" w:rsidP="00BC0266">
      <w:pPr>
        <w:jc w:val="both"/>
        <w:rPr>
          <w:sz w:val="24"/>
        </w:rPr>
      </w:pPr>
      <w:r w:rsidRPr="00BC0266">
        <w:rPr>
          <w:sz w:val="24"/>
        </w:rPr>
        <w:t>L’attributaire</w:t>
      </w:r>
      <w:r>
        <w:rPr>
          <w:sz w:val="24"/>
        </w:rPr>
        <w:t xml:space="preserve"> </w:t>
      </w:r>
      <w:r w:rsidRPr="00BC0266">
        <w:rPr>
          <w:sz w:val="24"/>
        </w:rPr>
        <w:t>du</w:t>
      </w:r>
      <w:r>
        <w:rPr>
          <w:sz w:val="24"/>
        </w:rPr>
        <w:t xml:space="preserve"> </w:t>
      </w:r>
      <w:r w:rsidRPr="00BC0266">
        <w:rPr>
          <w:sz w:val="24"/>
        </w:rPr>
        <w:t>marché</w:t>
      </w:r>
      <w:r>
        <w:rPr>
          <w:sz w:val="24"/>
        </w:rPr>
        <w:t xml:space="preserve"> </w:t>
      </w:r>
      <w:r w:rsidRPr="00BC0266">
        <w:rPr>
          <w:sz w:val="24"/>
        </w:rPr>
        <w:t>subséquent</w:t>
      </w:r>
      <w:r>
        <w:rPr>
          <w:sz w:val="24"/>
        </w:rPr>
        <w:t xml:space="preserve"> </w:t>
      </w:r>
      <w:r w:rsidRPr="00BC0266">
        <w:rPr>
          <w:sz w:val="24"/>
        </w:rPr>
        <w:t>s’engage</w:t>
      </w:r>
      <w:r>
        <w:rPr>
          <w:sz w:val="24"/>
        </w:rPr>
        <w:t xml:space="preserve"> </w:t>
      </w:r>
      <w:r w:rsidRPr="00BC0266">
        <w:rPr>
          <w:sz w:val="24"/>
        </w:rPr>
        <w:t>notamment</w:t>
      </w:r>
      <w:r>
        <w:rPr>
          <w:sz w:val="24"/>
        </w:rPr>
        <w:t xml:space="preserve"> </w:t>
      </w:r>
      <w:r w:rsidRPr="00BC0266">
        <w:rPr>
          <w:sz w:val="24"/>
        </w:rPr>
        <w:t>sur</w:t>
      </w:r>
      <w:r>
        <w:rPr>
          <w:sz w:val="24"/>
        </w:rPr>
        <w:t xml:space="preserve"> </w:t>
      </w:r>
      <w:r w:rsidRPr="00BC0266">
        <w:rPr>
          <w:sz w:val="24"/>
        </w:rPr>
        <w:t>un</w:t>
      </w:r>
      <w:r>
        <w:rPr>
          <w:sz w:val="24"/>
        </w:rPr>
        <w:t xml:space="preserve"> </w:t>
      </w:r>
      <w:r w:rsidRPr="00BC0266">
        <w:rPr>
          <w:sz w:val="24"/>
        </w:rPr>
        <w:t>échéancier</w:t>
      </w:r>
      <w:r>
        <w:rPr>
          <w:sz w:val="24"/>
        </w:rPr>
        <w:t xml:space="preserve"> pour </w:t>
      </w:r>
      <w:r w:rsidRPr="00BC0266">
        <w:rPr>
          <w:sz w:val="24"/>
        </w:rPr>
        <w:t xml:space="preserve">l’obtention de l’agrément fiscal du montage proposé et </w:t>
      </w:r>
      <w:r>
        <w:rPr>
          <w:sz w:val="24"/>
        </w:rPr>
        <w:t xml:space="preserve">le placement des fonds faisant </w:t>
      </w:r>
      <w:r w:rsidRPr="00BC0266">
        <w:rPr>
          <w:sz w:val="24"/>
        </w:rPr>
        <w:t xml:space="preserve">l’objet </w:t>
      </w:r>
      <w:r w:rsidR="00983CAA">
        <w:rPr>
          <w:sz w:val="24"/>
        </w:rPr>
        <w:t>du planning visé à l’article 3</w:t>
      </w:r>
      <w:r w:rsidRPr="00BC0266">
        <w:rPr>
          <w:sz w:val="24"/>
        </w:rPr>
        <w:t xml:space="preserve"> du présent accord-cadre. </w:t>
      </w:r>
    </w:p>
    <w:p w14:paraId="4864B4EF" w14:textId="77777777" w:rsidR="00BC0266" w:rsidRPr="00BC0266" w:rsidRDefault="00BC0266" w:rsidP="00BC0266">
      <w:pPr>
        <w:jc w:val="both"/>
        <w:rPr>
          <w:sz w:val="24"/>
        </w:rPr>
      </w:pPr>
      <w:r>
        <w:rPr>
          <w:sz w:val="24"/>
        </w:rPr>
        <w:t xml:space="preserve"> </w:t>
      </w:r>
      <w:r w:rsidRPr="00BC0266">
        <w:rPr>
          <w:sz w:val="24"/>
        </w:rPr>
        <w:t>En</w:t>
      </w:r>
      <w:r>
        <w:rPr>
          <w:sz w:val="24"/>
        </w:rPr>
        <w:t xml:space="preserve"> </w:t>
      </w:r>
      <w:r w:rsidRPr="00BC0266">
        <w:rPr>
          <w:sz w:val="24"/>
        </w:rPr>
        <w:t>cas</w:t>
      </w:r>
      <w:r>
        <w:rPr>
          <w:sz w:val="24"/>
        </w:rPr>
        <w:t xml:space="preserve"> </w:t>
      </w:r>
      <w:r w:rsidRPr="00BC0266">
        <w:rPr>
          <w:sz w:val="24"/>
        </w:rPr>
        <w:t>de</w:t>
      </w:r>
      <w:r>
        <w:rPr>
          <w:sz w:val="24"/>
        </w:rPr>
        <w:t xml:space="preserve"> </w:t>
      </w:r>
      <w:r w:rsidRPr="00BC0266">
        <w:rPr>
          <w:sz w:val="24"/>
        </w:rPr>
        <w:t>non-respect</w:t>
      </w:r>
      <w:r>
        <w:rPr>
          <w:sz w:val="24"/>
        </w:rPr>
        <w:t xml:space="preserve"> </w:t>
      </w:r>
      <w:r w:rsidRPr="00BC0266">
        <w:rPr>
          <w:sz w:val="24"/>
        </w:rPr>
        <w:t>d’une</w:t>
      </w:r>
      <w:r>
        <w:rPr>
          <w:sz w:val="24"/>
        </w:rPr>
        <w:t xml:space="preserve"> </w:t>
      </w:r>
      <w:r w:rsidRPr="00BC0266">
        <w:rPr>
          <w:sz w:val="24"/>
        </w:rPr>
        <w:t>échéance</w:t>
      </w:r>
      <w:r>
        <w:rPr>
          <w:sz w:val="24"/>
        </w:rPr>
        <w:t xml:space="preserve"> </w:t>
      </w:r>
      <w:r w:rsidRPr="00BC0266">
        <w:rPr>
          <w:sz w:val="24"/>
        </w:rPr>
        <w:t>pour</w:t>
      </w:r>
      <w:r>
        <w:rPr>
          <w:sz w:val="24"/>
        </w:rPr>
        <w:t xml:space="preserve"> </w:t>
      </w:r>
      <w:r w:rsidRPr="00BC0266">
        <w:rPr>
          <w:sz w:val="24"/>
        </w:rPr>
        <w:t>toute</w:t>
      </w:r>
      <w:r>
        <w:rPr>
          <w:sz w:val="24"/>
        </w:rPr>
        <w:t xml:space="preserve"> </w:t>
      </w:r>
      <w:r w:rsidRPr="00BC0266">
        <w:rPr>
          <w:sz w:val="24"/>
        </w:rPr>
        <w:t>raison</w:t>
      </w:r>
      <w:r>
        <w:rPr>
          <w:sz w:val="24"/>
        </w:rPr>
        <w:t xml:space="preserve"> </w:t>
      </w:r>
      <w:r w:rsidRPr="00BC0266">
        <w:rPr>
          <w:sz w:val="24"/>
        </w:rPr>
        <w:t>autre</w:t>
      </w:r>
      <w:r>
        <w:rPr>
          <w:sz w:val="24"/>
        </w:rPr>
        <w:t xml:space="preserve"> qu’exclusivement </w:t>
      </w:r>
      <w:r w:rsidRPr="00BC0266">
        <w:rPr>
          <w:sz w:val="24"/>
        </w:rPr>
        <w:t xml:space="preserve">imputable </w:t>
      </w:r>
      <w:r w:rsidR="00983CAA">
        <w:rPr>
          <w:sz w:val="24"/>
        </w:rPr>
        <w:t>au FCH</w:t>
      </w:r>
      <w:r w:rsidRPr="00BC0266">
        <w:rPr>
          <w:sz w:val="24"/>
        </w:rPr>
        <w:t xml:space="preserve">, l’attributaire du marché subséquent devra verser de plein droit et sur simple demande du </w:t>
      </w:r>
      <w:r w:rsidR="00983CAA">
        <w:rPr>
          <w:sz w:val="24"/>
        </w:rPr>
        <w:t>FCH</w:t>
      </w:r>
      <w:r w:rsidRPr="00BC0266">
        <w:rPr>
          <w:sz w:val="24"/>
        </w:rPr>
        <w:t>,</w:t>
      </w:r>
      <w:r>
        <w:rPr>
          <w:sz w:val="24"/>
        </w:rPr>
        <w:t xml:space="preserve"> </w:t>
      </w:r>
      <w:r w:rsidRPr="00BC0266">
        <w:rPr>
          <w:sz w:val="24"/>
        </w:rPr>
        <w:t>les pénalités ou les intérêts de retard dus prévus au présent accord-cadre.</w:t>
      </w:r>
      <w:r>
        <w:rPr>
          <w:sz w:val="24"/>
        </w:rPr>
        <w:t xml:space="preserve"> </w:t>
      </w:r>
    </w:p>
    <w:p w14:paraId="5A7E152F" w14:textId="77777777" w:rsidR="00983CAA" w:rsidRDefault="00983CAA" w:rsidP="00983CAA">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31FF81A5" w14:textId="77777777" w:rsidR="00BC0266" w:rsidRPr="00BC0266" w:rsidRDefault="00983CAA" w:rsidP="00983CAA">
      <w:pPr>
        <w:pStyle w:val="Titre2"/>
        <w:keepNext w:val="0"/>
        <w:keepLines w:val="0"/>
        <w:spacing w:before="0" w:after="300" w:line="240" w:lineRule="auto"/>
        <w:ind w:left="720" w:hanging="360"/>
        <w:contextualSpacing/>
        <w:rPr>
          <w:sz w:val="24"/>
        </w:rPr>
      </w:pPr>
      <w:bookmarkStart w:id="31" w:name="_Toc145312187"/>
      <w:r>
        <w:rPr>
          <w:bCs w:val="0"/>
          <w:color w:val="17365D" w:themeColor="text2" w:themeShade="BF"/>
          <w:spacing w:val="5"/>
          <w:kern w:val="28"/>
          <w:sz w:val="28"/>
          <w:szCs w:val="52"/>
        </w:rPr>
        <w:lastRenderedPageBreak/>
        <w:t>Article</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1</w:t>
      </w:r>
      <w:r w:rsidR="006408CE">
        <w:rPr>
          <w:bCs w:val="0"/>
          <w:color w:val="17365D" w:themeColor="text2" w:themeShade="BF"/>
          <w:spacing w:val="5"/>
          <w:kern w:val="28"/>
          <w:sz w:val="28"/>
          <w:szCs w:val="52"/>
        </w:rPr>
        <w:t>1</w:t>
      </w:r>
      <w:r>
        <w:rPr>
          <w:bCs w:val="0"/>
          <w:color w:val="17365D" w:themeColor="text2" w:themeShade="BF"/>
          <w:spacing w:val="5"/>
          <w:kern w:val="28"/>
          <w:sz w:val="28"/>
          <w:szCs w:val="52"/>
        </w:rPr>
        <w:t xml:space="preserve"> –</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Pénalités</w:t>
      </w:r>
      <w:bookmarkEnd w:id="31"/>
      <w:r w:rsidR="00BC0266" w:rsidRPr="00BC0266">
        <w:rPr>
          <w:sz w:val="24"/>
        </w:rPr>
        <w:t xml:space="preserve"> </w:t>
      </w:r>
    </w:p>
    <w:p w14:paraId="321D5B0D" w14:textId="77777777" w:rsidR="00BC0266" w:rsidRPr="00BC0266" w:rsidRDefault="00983CAA" w:rsidP="00BC0266">
      <w:pPr>
        <w:jc w:val="both"/>
        <w:rPr>
          <w:sz w:val="24"/>
        </w:rPr>
      </w:pPr>
      <w:r>
        <w:rPr>
          <w:sz w:val="24"/>
        </w:rPr>
        <w:t>L</w:t>
      </w:r>
      <w:r w:rsidR="00BC0266" w:rsidRPr="00BC0266">
        <w:rPr>
          <w:sz w:val="24"/>
        </w:rPr>
        <w:t>’attributaire</w:t>
      </w:r>
      <w:r w:rsidR="00BC0266">
        <w:rPr>
          <w:sz w:val="24"/>
        </w:rPr>
        <w:t xml:space="preserve"> </w:t>
      </w:r>
      <w:r w:rsidR="00BC0266" w:rsidRPr="00BC0266">
        <w:rPr>
          <w:sz w:val="24"/>
        </w:rPr>
        <w:t>d’un</w:t>
      </w:r>
      <w:r w:rsidR="00BC0266">
        <w:rPr>
          <w:sz w:val="24"/>
        </w:rPr>
        <w:t xml:space="preserve"> </w:t>
      </w:r>
      <w:r w:rsidR="00BC0266" w:rsidRPr="00BC0266">
        <w:rPr>
          <w:sz w:val="24"/>
        </w:rPr>
        <w:t>marché</w:t>
      </w:r>
      <w:r w:rsidR="00BC0266">
        <w:rPr>
          <w:sz w:val="24"/>
        </w:rPr>
        <w:t xml:space="preserve"> </w:t>
      </w:r>
      <w:r w:rsidR="00BC0266" w:rsidRPr="00BC0266">
        <w:rPr>
          <w:sz w:val="24"/>
        </w:rPr>
        <w:t>subséquent</w:t>
      </w:r>
      <w:r w:rsidR="00BC0266">
        <w:rPr>
          <w:sz w:val="24"/>
        </w:rPr>
        <w:t xml:space="preserve"> </w:t>
      </w:r>
      <w:r w:rsidR="00BC0266" w:rsidRPr="00BC0266">
        <w:rPr>
          <w:sz w:val="24"/>
        </w:rPr>
        <w:t>s’expose</w:t>
      </w:r>
      <w:r w:rsidR="00BC0266">
        <w:rPr>
          <w:sz w:val="24"/>
        </w:rPr>
        <w:t xml:space="preserve"> </w:t>
      </w:r>
      <w:r w:rsidR="00BC0266" w:rsidRPr="00BC0266">
        <w:rPr>
          <w:sz w:val="24"/>
        </w:rPr>
        <w:t>à</w:t>
      </w:r>
      <w:r w:rsidR="00BC0266">
        <w:rPr>
          <w:sz w:val="24"/>
        </w:rPr>
        <w:t xml:space="preserve"> </w:t>
      </w:r>
      <w:r w:rsidR="00BC0266" w:rsidRPr="00BC0266">
        <w:rPr>
          <w:sz w:val="24"/>
        </w:rPr>
        <w:t>l’application</w:t>
      </w:r>
      <w:r w:rsidR="00BC0266">
        <w:rPr>
          <w:sz w:val="24"/>
        </w:rPr>
        <w:t xml:space="preserve"> </w:t>
      </w:r>
      <w:r w:rsidR="00BC0266" w:rsidRPr="00BC0266">
        <w:rPr>
          <w:sz w:val="24"/>
        </w:rPr>
        <w:t>de</w:t>
      </w:r>
      <w:r w:rsidR="00BC0266">
        <w:rPr>
          <w:sz w:val="24"/>
        </w:rPr>
        <w:t xml:space="preserve"> </w:t>
      </w:r>
      <w:r w:rsidR="00BC0266" w:rsidRPr="00BC0266">
        <w:rPr>
          <w:sz w:val="24"/>
        </w:rPr>
        <w:t xml:space="preserve">pénalités non libératoires suivantes : </w:t>
      </w:r>
    </w:p>
    <w:p w14:paraId="6941D4B4" w14:textId="26C42EDD" w:rsidR="000B3358" w:rsidRPr="000B3358" w:rsidRDefault="00BC0266" w:rsidP="00DE14AD">
      <w:pPr>
        <w:pStyle w:val="Paragraphedeliste"/>
        <w:numPr>
          <w:ilvl w:val="0"/>
          <w:numId w:val="13"/>
        </w:numPr>
        <w:jc w:val="both"/>
        <w:rPr>
          <w:sz w:val="24"/>
        </w:rPr>
      </w:pPr>
      <w:r w:rsidRPr="00BC0266">
        <w:rPr>
          <w:sz w:val="24"/>
        </w:rPr>
        <w:t>Pénalités</w:t>
      </w:r>
      <w:r>
        <w:rPr>
          <w:sz w:val="24"/>
        </w:rPr>
        <w:t xml:space="preserve"> </w:t>
      </w:r>
      <w:r w:rsidRPr="00BC0266">
        <w:rPr>
          <w:sz w:val="24"/>
        </w:rPr>
        <w:t>pour</w:t>
      </w:r>
      <w:r>
        <w:rPr>
          <w:sz w:val="24"/>
        </w:rPr>
        <w:t xml:space="preserve"> </w:t>
      </w:r>
      <w:r w:rsidRPr="00BC0266">
        <w:rPr>
          <w:sz w:val="24"/>
        </w:rPr>
        <w:t>retard</w:t>
      </w:r>
      <w:r w:rsidR="001A1482">
        <w:rPr>
          <w:sz w:val="24"/>
        </w:rPr>
        <w:t xml:space="preserve"> l’engagement et l’instruction </w:t>
      </w:r>
      <w:r w:rsidR="001A1482" w:rsidRPr="00AB2E62">
        <w:rPr>
          <w:sz w:val="24"/>
        </w:rPr>
        <w:t>du</w:t>
      </w:r>
      <w:r w:rsidR="00546768" w:rsidRPr="00AB2E62">
        <w:rPr>
          <w:sz w:val="24"/>
        </w:rPr>
        <w:t xml:space="preserve"> dossier d’agrément</w:t>
      </w:r>
      <w:r w:rsidR="000B3358" w:rsidRPr="00AB2E62">
        <w:rPr>
          <w:sz w:val="24"/>
        </w:rPr>
        <w:t> :</w:t>
      </w:r>
    </w:p>
    <w:p w14:paraId="1D89E0F9" w14:textId="4DC16369" w:rsidR="00BC0266" w:rsidRDefault="00BC0266" w:rsidP="00BC0266">
      <w:pPr>
        <w:jc w:val="both"/>
        <w:rPr>
          <w:sz w:val="24"/>
        </w:rPr>
      </w:pPr>
      <w:r w:rsidRPr="00BC0266">
        <w:rPr>
          <w:sz w:val="24"/>
        </w:rPr>
        <w:t xml:space="preserve">En cas de </w:t>
      </w:r>
      <w:r w:rsidR="000B3358">
        <w:rPr>
          <w:sz w:val="24"/>
        </w:rPr>
        <w:t xml:space="preserve">non-respect des délais de </w:t>
      </w:r>
      <w:r w:rsidR="000B3358" w:rsidRPr="000B3358">
        <w:rPr>
          <w:sz w:val="24"/>
        </w:rPr>
        <w:t>rédaction de la demande d’accord préalable et de réponses aux questions sollicitées par la DGFIP</w:t>
      </w:r>
      <w:r w:rsidRPr="00BC0266">
        <w:rPr>
          <w:sz w:val="24"/>
        </w:rPr>
        <w:t xml:space="preserve">, l’attributaire s’expose de plein droit au </w:t>
      </w:r>
      <w:r w:rsidRPr="00C07777">
        <w:rPr>
          <w:sz w:val="24"/>
        </w:rPr>
        <w:t>paiement de</w:t>
      </w:r>
      <w:r w:rsidR="009B55C1" w:rsidRPr="00C07777">
        <w:rPr>
          <w:sz w:val="24"/>
        </w:rPr>
        <w:t xml:space="preserve"> 10</w:t>
      </w:r>
      <w:r w:rsidR="000B3358" w:rsidRPr="00C07777">
        <w:rPr>
          <w:sz w:val="24"/>
        </w:rPr>
        <w:t>.000</w:t>
      </w:r>
      <w:r w:rsidRPr="00C07777">
        <w:rPr>
          <w:sz w:val="24"/>
        </w:rPr>
        <w:t xml:space="preserve"> </w:t>
      </w:r>
      <w:r w:rsidR="000B3358" w:rsidRPr="00C07777">
        <w:rPr>
          <w:sz w:val="24"/>
        </w:rPr>
        <w:t>F.CFP</w:t>
      </w:r>
      <w:r w:rsidR="00F95017" w:rsidRPr="00C07777">
        <w:rPr>
          <w:sz w:val="24"/>
        </w:rPr>
        <w:t xml:space="preserve"> par jour de retard,</w:t>
      </w:r>
      <w:r w:rsidR="00F95017">
        <w:rPr>
          <w:sz w:val="24"/>
        </w:rPr>
        <w:t xml:space="preserve"> à compter du premier jour de retard.</w:t>
      </w:r>
      <w:r w:rsidRPr="00BC0266">
        <w:rPr>
          <w:sz w:val="24"/>
        </w:rPr>
        <w:t xml:space="preserve"> </w:t>
      </w:r>
    </w:p>
    <w:p w14:paraId="4D88734B" w14:textId="77777777" w:rsidR="00A729F3" w:rsidRPr="000B3358" w:rsidRDefault="00A729F3" w:rsidP="00A729F3">
      <w:pPr>
        <w:pStyle w:val="Paragraphedeliste"/>
        <w:numPr>
          <w:ilvl w:val="0"/>
          <w:numId w:val="13"/>
        </w:numPr>
        <w:jc w:val="both"/>
        <w:rPr>
          <w:sz w:val="24"/>
        </w:rPr>
      </w:pPr>
      <w:r w:rsidRPr="00BC0266">
        <w:rPr>
          <w:sz w:val="24"/>
        </w:rPr>
        <w:t>Pénalités</w:t>
      </w:r>
      <w:r>
        <w:rPr>
          <w:sz w:val="24"/>
        </w:rPr>
        <w:t xml:space="preserve"> </w:t>
      </w:r>
      <w:r w:rsidRPr="00BC0266">
        <w:rPr>
          <w:sz w:val="24"/>
        </w:rPr>
        <w:t>pour</w:t>
      </w:r>
      <w:r>
        <w:rPr>
          <w:sz w:val="24"/>
        </w:rPr>
        <w:t xml:space="preserve"> </w:t>
      </w:r>
      <w:r w:rsidRPr="00BC0266">
        <w:rPr>
          <w:sz w:val="24"/>
        </w:rPr>
        <w:t>retard</w:t>
      </w:r>
      <w:r>
        <w:rPr>
          <w:sz w:val="24"/>
        </w:rPr>
        <w:t xml:space="preserve"> dans le versement de la rétrocession :</w:t>
      </w:r>
    </w:p>
    <w:p w14:paraId="06BBDEFD" w14:textId="77777777" w:rsidR="00A729F3" w:rsidRPr="00A729F3" w:rsidRDefault="00A729F3" w:rsidP="00A729F3">
      <w:pPr>
        <w:jc w:val="both"/>
        <w:rPr>
          <w:sz w:val="24"/>
        </w:rPr>
      </w:pPr>
      <w:r w:rsidRPr="00A729F3">
        <w:rPr>
          <w:sz w:val="24"/>
        </w:rPr>
        <w:t xml:space="preserve">En cas de </w:t>
      </w:r>
      <w:r>
        <w:rPr>
          <w:sz w:val="24"/>
        </w:rPr>
        <w:t>non-respect du délai</w:t>
      </w:r>
      <w:r w:rsidRPr="00A729F3">
        <w:rPr>
          <w:sz w:val="24"/>
        </w:rPr>
        <w:t xml:space="preserve"> de </w:t>
      </w:r>
      <w:r>
        <w:rPr>
          <w:sz w:val="24"/>
        </w:rPr>
        <w:t>versement de la rétrocession</w:t>
      </w:r>
      <w:r w:rsidRPr="00A729F3">
        <w:rPr>
          <w:sz w:val="24"/>
        </w:rPr>
        <w:t xml:space="preserve">, l’attributaire s’expose de plein droit </w:t>
      </w:r>
      <w:r w:rsidR="00E532ED">
        <w:rPr>
          <w:sz w:val="24"/>
        </w:rPr>
        <w:t>aux pénalités</w:t>
      </w:r>
      <w:r>
        <w:rPr>
          <w:sz w:val="24"/>
        </w:rPr>
        <w:t xml:space="preserve"> qu’il avait consenti à accorder</w:t>
      </w:r>
      <w:r w:rsidRPr="00A729F3">
        <w:rPr>
          <w:sz w:val="24"/>
        </w:rPr>
        <w:t xml:space="preserve">. </w:t>
      </w:r>
    </w:p>
    <w:p w14:paraId="7066421C" w14:textId="77777777" w:rsidR="00502B55" w:rsidRDefault="00502B55" w:rsidP="00DE14AD">
      <w:pPr>
        <w:pStyle w:val="Paragraphedeliste"/>
        <w:numPr>
          <w:ilvl w:val="0"/>
          <w:numId w:val="13"/>
        </w:numPr>
        <w:jc w:val="both"/>
        <w:rPr>
          <w:sz w:val="24"/>
        </w:rPr>
      </w:pPr>
      <w:r w:rsidRPr="00BC0266">
        <w:rPr>
          <w:sz w:val="24"/>
        </w:rPr>
        <w:t>Pénalités</w:t>
      </w:r>
      <w:r>
        <w:rPr>
          <w:sz w:val="24"/>
        </w:rPr>
        <w:t xml:space="preserve"> </w:t>
      </w:r>
      <w:r w:rsidRPr="00BC0266">
        <w:rPr>
          <w:sz w:val="24"/>
        </w:rPr>
        <w:t>pour</w:t>
      </w:r>
      <w:r>
        <w:rPr>
          <w:sz w:val="24"/>
        </w:rPr>
        <w:t xml:space="preserve"> </w:t>
      </w:r>
      <w:r w:rsidRPr="00BC0266">
        <w:rPr>
          <w:sz w:val="24"/>
        </w:rPr>
        <w:t>retard</w:t>
      </w:r>
      <w:r>
        <w:rPr>
          <w:sz w:val="24"/>
        </w:rPr>
        <w:t xml:space="preserve"> dans le débouclage de l’opération :</w:t>
      </w:r>
    </w:p>
    <w:p w14:paraId="1E0320D6" w14:textId="77777777" w:rsidR="00502B55" w:rsidRDefault="00502B55" w:rsidP="00502B55">
      <w:pPr>
        <w:jc w:val="both"/>
        <w:rPr>
          <w:sz w:val="24"/>
        </w:rPr>
      </w:pPr>
      <w:r w:rsidRPr="00BC0266">
        <w:rPr>
          <w:sz w:val="24"/>
        </w:rPr>
        <w:t xml:space="preserve">En cas de </w:t>
      </w:r>
      <w:r>
        <w:rPr>
          <w:sz w:val="24"/>
        </w:rPr>
        <w:t>non-respect du délai dans lequel l’attributaire s’était engagé à déboucler l’opération</w:t>
      </w:r>
      <w:r w:rsidRPr="00BC0266">
        <w:rPr>
          <w:sz w:val="24"/>
        </w:rPr>
        <w:t xml:space="preserve">, </w:t>
      </w:r>
      <w:r w:rsidR="00A46901" w:rsidRPr="00A729F3">
        <w:rPr>
          <w:sz w:val="24"/>
        </w:rPr>
        <w:t xml:space="preserve">l’attributaire s’expose de plein droit </w:t>
      </w:r>
      <w:r w:rsidR="00A46901">
        <w:rPr>
          <w:sz w:val="24"/>
        </w:rPr>
        <w:t xml:space="preserve">à </w:t>
      </w:r>
      <w:r w:rsidR="00E532ED">
        <w:rPr>
          <w:sz w:val="24"/>
        </w:rPr>
        <w:t>aux pénalités</w:t>
      </w:r>
      <w:r w:rsidR="00A46901">
        <w:rPr>
          <w:sz w:val="24"/>
        </w:rPr>
        <w:t xml:space="preserve"> qu’il avait consenti à accorder</w:t>
      </w:r>
      <w:r w:rsidR="00A46901" w:rsidRPr="00A729F3">
        <w:rPr>
          <w:sz w:val="24"/>
        </w:rPr>
        <w:t>.</w:t>
      </w:r>
    </w:p>
    <w:p w14:paraId="790F8489" w14:textId="77777777" w:rsidR="00C149F3" w:rsidRDefault="00C149F3"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6C664423" w14:textId="77777777" w:rsidR="00BC0266" w:rsidRPr="00BC0266" w:rsidRDefault="00C149F3" w:rsidP="00C149F3">
      <w:pPr>
        <w:pStyle w:val="Titre2"/>
        <w:keepNext w:val="0"/>
        <w:keepLines w:val="0"/>
        <w:spacing w:before="0" w:after="300" w:line="240" w:lineRule="auto"/>
        <w:ind w:left="720" w:hanging="360"/>
        <w:contextualSpacing/>
        <w:rPr>
          <w:sz w:val="24"/>
        </w:rPr>
      </w:pPr>
      <w:bookmarkStart w:id="32" w:name="_Toc145312188"/>
      <w:r>
        <w:rPr>
          <w:bCs w:val="0"/>
          <w:color w:val="17365D" w:themeColor="text2" w:themeShade="BF"/>
          <w:spacing w:val="5"/>
          <w:kern w:val="28"/>
          <w:sz w:val="28"/>
          <w:szCs w:val="52"/>
        </w:rPr>
        <w:t>Article</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1</w:t>
      </w:r>
      <w:r w:rsidR="006408CE">
        <w:rPr>
          <w:bCs w:val="0"/>
          <w:color w:val="17365D" w:themeColor="text2" w:themeShade="BF"/>
          <w:spacing w:val="5"/>
          <w:kern w:val="28"/>
          <w:sz w:val="28"/>
          <w:szCs w:val="52"/>
        </w:rPr>
        <w:t>2</w:t>
      </w:r>
      <w:r>
        <w:rPr>
          <w:bCs w:val="0"/>
          <w:color w:val="17365D" w:themeColor="text2" w:themeShade="BF"/>
          <w:spacing w:val="5"/>
          <w:kern w:val="28"/>
          <w:sz w:val="28"/>
          <w:szCs w:val="52"/>
        </w:rPr>
        <w:t xml:space="preserve"> –</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Résiliation des marchés subséquents</w:t>
      </w:r>
      <w:bookmarkEnd w:id="32"/>
      <w:r w:rsidR="00BC0266" w:rsidRPr="00BC0266">
        <w:rPr>
          <w:sz w:val="24"/>
        </w:rPr>
        <w:t xml:space="preserve"> </w:t>
      </w:r>
    </w:p>
    <w:p w14:paraId="2A50EA74" w14:textId="77777777" w:rsidR="00BC0266" w:rsidRPr="00BC0266" w:rsidRDefault="00BC0266" w:rsidP="00BC0266">
      <w:pPr>
        <w:jc w:val="both"/>
        <w:rPr>
          <w:sz w:val="24"/>
        </w:rPr>
      </w:pPr>
      <w:r w:rsidRPr="00BC0266">
        <w:rPr>
          <w:sz w:val="24"/>
        </w:rPr>
        <w:t>La</w:t>
      </w:r>
      <w:r>
        <w:rPr>
          <w:sz w:val="24"/>
        </w:rPr>
        <w:t xml:space="preserve"> </w:t>
      </w:r>
      <w:r w:rsidRPr="00BC0266">
        <w:rPr>
          <w:sz w:val="24"/>
        </w:rPr>
        <w:t>résiliation</w:t>
      </w:r>
      <w:r>
        <w:rPr>
          <w:sz w:val="24"/>
        </w:rPr>
        <w:t xml:space="preserve"> </w:t>
      </w:r>
      <w:r w:rsidRPr="00BC0266">
        <w:rPr>
          <w:sz w:val="24"/>
        </w:rPr>
        <w:t>des</w:t>
      </w:r>
      <w:r>
        <w:rPr>
          <w:sz w:val="24"/>
        </w:rPr>
        <w:t xml:space="preserve"> </w:t>
      </w:r>
      <w:r w:rsidRPr="00BC0266">
        <w:rPr>
          <w:sz w:val="24"/>
        </w:rPr>
        <w:t>marchés</w:t>
      </w:r>
      <w:r>
        <w:rPr>
          <w:sz w:val="24"/>
        </w:rPr>
        <w:t xml:space="preserve"> </w:t>
      </w:r>
      <w:r w:rsidRPr="00BC0266">
        <w:rPr>
          <w:sz w:val="24"/>
        </w:rPr>
        <w:t>subséquents</w:t>
      </w:r>
      <w:r>
        <w:rPr>
          <w:sz w:val="24"/>
        </w:rPr>
        <w:t xml:space="preserve"> </w:t>
      </w:r>
      <w:r w:rsidRPr="00BC0266">
        <w:rPr>
          <w:sz w:val="24"/>
        </w:rPr>
        <w:t>pourra</w:t>
      </w:r>
      <w:r>
        <w:rPr>
          <w:sz w:val="24"/>
        </w:rPr>
        <w:t xml:space="preserve"> </w:t>
      </w:r>
      <w:r w:rsidRPr="00BC0266">
        <w:rPr>
          <w:sz w:val="24"/>
        </w:rPr>
        <w:t>être prononcée</w:t>
      </w:r>
      <w:r>
        <w:rPr>
          <w:sz w:val="24"/>
        </w:rPr>
        <w:t xml:space="preserve"> </w:t>
      </w:r>
      <w:r w:rsidRPr="00BC0266">
        <w:rPr>
          <w:sz w:val="24"/>
        </w:rPr>
        <w:t>dans</w:t>
      </w:r>
      <w:r>
        <w:rPr>
          <w:sz w:val="24"/>
        </w:rPr>
        <w:t xml:space="preserve"> </w:t>
      </w:r>
      <w:r w:rsidRPr="00BC0266">
        <w:rPr>
          <w:sz w:val="24"/>
        </w:rPr>
        <w:t>les</w:t>
      </w:r>
      <w:r>
        <w:rPr>
          <w:sz w:val="24"/>
        </w:rPr>
        <w:t xml:space="preserve"> </w:t>
      </w:r>
      <w:r w:rsidR="00983CAA">
        <w:rPr>
          <w:sz w:val="24"/>
        </w:rPr>
        <w:t xml:space="preserve">mêmes </w:t>
      </w:r>
      <w:r w:rsidRPr="00BC0266">
        <w:rPr>
          <w:sz w:val="24"/>
        </w:rPr>
        <w:t>conditions</w:t>
      </w:r>
      <w:r w:rsidR="00983CAA">
        <w:rPr>
          <w:sz w:val="24"/>
        </w:rPr>
        <w:t xml:space="preserve"> que celles </w:t>
      </w:r>
      <w:r w:rsidRPr="00BC0266">
        <w:rPr>
          <w:sz w:val="24"/>
        </w:rPr>
        <w:t xml:space="preserve">prévues </w:t>
      </w:r>
      <w:r w:rsidR="00C149F3">
        <w:rPr>
          <w:sz w:val="24"/>
        </w:rPr>
        <w:t xml:space="preserve">à l’article </w:t>
      </w:r>
      <w:r w:rsidR="006408CE">
        <w:rPr>
          <w:sz w:val="24"/>
        </w:rPr>
        <w:t>6</w:t>
      </w:r>
      <w:r w:rsidR="00C149F3">
        <w:rPr>
          <w:sz w:val="24"/>
        </w:rPr>
        <w:t xml:space="preserve"> de l’accord cadre prévoyant les cas de résiliation de l’accord cadre</w:t>
      </w:r>
      <w:r w:rsidR="00983CAA">
        <w:rPr>
          <w:sz w:val="24"/>
        </w:rPr>
        <w:t xml:space="preserve">. </w:t>
      </w:r>
    </w:p>
    <w:p w14:paraId="7D3F21CE" w14:textId="178A43F0" w:rsidR="00BC0266" w:rsidRPr="00BC0266" w:rsidRDefault="00BC0266" w:rsidP="00BC0266">
      <w:pPr>
        <w:jc w:val="both"/>
        <w:rPr>
          <w:sz w:val="24"/>
        </w:rPr>
      </w:pPr>
      <w:r w:rsidRPr="00BC0266">
        <w:rPr>
          <w:sz w:val="24"/>
        </w:rPr>
        <w:t xml:space="preserve">Au-delà de ce que prévoit l’article </w:t>
      </w:r>
      <w:r w:rsidR="006408CE">
        <w:rPr>
          <w:sz w:val="24"/>
        </w:rPr>
        <w:t>6</w:t>
      </w:r>
      <w:r w:rsidR="00C149F3">
        <w:rPr>
          <w:sz w:val="24"/>
        </w:rPr>
        <w:t xml:space="preserve"> de l’accord cadre</w:t>
      </w:r>
      <w:r w:rsidRPr="00BC0266">
        <w:rPr>
          <w:sz w:val="24"/>
        </w:rPr>
        <w:t xml:space="preserve">, et par </w:t>
      </w:r>
      <w:r w:rsidR="00983CAA">
        <w:rPr>
          <w:sz w:val="24"/>
        </w:rPr>
        <w:t>dérogation, le Titulaire remet</w:t>
      </w:r>
      <w:r w:rsidR="00C149F3">
        <w:rPr>
          <w:sz w:val="24"/>
        </w:rPr>
        <w:t>tra</w:t>
      </w:r>
      <w:r w:rsidR="00983CAA">
        <w:rPr>
          <w:sz w:val="24"/>
        </w:rPr>
        <w:t xml:space="preserve"> </w:t>
      </w:r>
      <w:r w:rsidR="00C149F3">
        <w:rPr>
          <w:sz w:val="24"/>
        </w:rPr>
        <w:t>au FCH</w:t>
      </w:r>
      <w:r w:rsidRPr="00BC0266">
        <w:rPr>
          <w:sz w:val="24"/>
        </w:rPr>
        <w:t>, en cas de résiliation d’un marché subséquent,</w:t>
      </w:r>
      <w:r>
        <w:rPr>
          <w:sz w:val="24"/>
        </w:rPr>
        <w:t xml:space="preserve"> </w:t>
      </w:r>
      <w:r w:rsidR="00116699">
        <w:rPr>
          <w:sz w:val="24"/>
        </w:rPr>
        <w:t xml:space="preserve">l’intégralité de la liasse documentaire liée à l’intégralité de l’opération </w:t>
      </w:r>
      <w:r w:rsidR="00983CAA">
        <w:rPr>
          <w:sz w:val="24"/>
        </w:rPr>
        <w:t xml:space="preserve">objet du marché subséquent. </w:t>
      </w:r>
    </w:p>
    <w:p w14:paraId="7A00C87B" w14:textId="77777777" w:rsidR="00BC0266" w:rsidRPr="00BC0266" w:rsidRDefault="00BC0266" w:rsidP="00BC0266">
      <w:pPr>
        <w:jc w:val="both"/>
        <w:rPr>
          <w:sz w:val="24"/>
        </w:rPr>
      </w:pPr>
      <w:r w:rsidRPr="00BC0266">
        <w:rPr>
          <w:sz w:val="24"/>
        </w:rPr>
        <w:t>La</w:t>
      </w:r>
      <w:r>
        <w:rPr>
          <w:sz w:val="24"/>
        </w:rPr>
        <w:t xml:space="preserve"> </w:t>
      </w:r>
      <w:r w:rsidRPr="00BC0266">
        <w:rPr>
          <w:sz w:val="24"/>
        </w:rPr>
        <w:t>résiliation</w:t>
      </w:r>
      <w:r>
        <w:rPr>
          <w:sz w:val="24"/>
        </w:rPr>
        <w:t xml:space="preserve"> </w:t>
      </w:r>
      <w:r w:rsidRPr="00BC0266">
        <w:rPr>
          <w:sz w:val="24"/>
        </w:rPr>
        <w:t>d’un</w:t>
      </w:r>
      <w:r>
        <w:rPr>
          <w:sz w:val="24"/>
        </w:rPr>
        <w:t xml:space="preserve"> </w:t>
      </w:r>
      <w:r w:rsidRPr="00BC0266">
        <w:rPr>
          <w:sz w:val="24"/>
        </w:rPr>
        <w:t>marché</w:t>
      </w:r>
      <w:r>
        <w:rPr>
          <w:sz w:val="24"/>
        </w:rPr>
        <w:t xml:space="preserve"> </w:t>
      </w:r>
      <w:r w:rsidRPr="00BC0266">
        <w:rPr>
          <w:sz w:val="24"/>
        </w:rPr>
        <w:t>subséquent</w:t>
      </w:r>
      <w:r>
        <w:rPr>
          <w:sz w:val="24"/>
        </w:rPr>
        <w:t xml:space="preserve"> </w:t>
      </w:r>
      <w:r w:rsidRPr="00BC0266">
        <w:rPr>
          <w:sz w:val="24"/>
        </w:rPr>
        <w:t>n’entraîne</w:t>
      </w:r>
      <w:r>
        <w:rPr>
          <w:sz w:val="24"/>
        </w:rPr>
        <w:t xml:space="preserve"> </w:t>
      </w:r>
      <w:r w:rsidRPr="00BC0266">
        <w:rPr>
          <w:sz w:val="24"/>
        </w:rPr>
        <w:t>de</w:t>
      </w:r>
      <w:r>
        <w:rPr>
          <w:sz w:val="24"/>
        </w:rPr>
        <w:t xml:space="preserve"> </w:t>
      </w:r>
      <w:r w:rsidRPr="00BC0266">
        <w:rPr>
          <w:sz w:val="24"/>
        </w:rPr>
        <w:t>plein</w:t>
      </w:r>
      <w:r>
        <w:rPr>
          <w:sz w:val="24"/>
        </w:rPr>
        <w:t xml:space="preserve"> </w:t>
      </w:r>
      <w:r w:rsidRPr="00BC0266">
        <w:rPr>
          <w:sz w:val="24"/>
        </w:rPr>
        <w:t>droit</w:t>
      </w:r>
      <w:r>
        <w:rPr>
          <w:sz w:val="24"/>
        </w:rPr>
        <w:t xml:space="preserve"> </w:t>
      </w:r>
      <w:r w:rsidRPr="00BC0266">
        <w:rPr>
          <w:sz w:val="24"/>
        </w:rPr>
        <w:t>ni</w:t>
      </w:r>
      <w:r>
        <w:rPr>
          <w:sz w:val="24"/>
        </w:rPr>
        <w:t xml:space="preserve"> </w:t>
      </w:r>
      <w:r w:rsidRPr="00BC0266">
        <w:rPr>
          <w:sz w:val="24"/>
        </w:rPr>
        <w:t>la</w:t>
      </w:r>
      <w:r>
        <w:rPr>
          <w:sz w:val="24"/>
        </w:rPr>
        <w:t xml:space="preserve"> </w:t>
      </w:r>
      <w:r w:rsidRPr="00BC0266">
        <w:rPr>
          <w:sz w:val="24"/>
        </w:rPr>
        <w:t>résiliation</w:t>
      </w:r>
      <w:r>
        <w:rPr>
          <w:sz w:val="24"/>
        </w:rPr>
        <w:t xml:space="preserve"> </w:t>
      </w:r>
      <w:r w:rsidRPr="00BC0266">
        <w:rPr>
          <w:sz w:val="24"/>
        </w:rPr>
        <w:t>d’un autre marché subséquent attribué au même titulaire, ni la résiliation de l’accord-cadre. Cependant</w:t>
      </w:r>
      <w:r>
        <w:rPr>
          <w:sz w:val="24"/>
        </w:rPr>
        <w:t xml:space="preserve"> </w:t>
      </w:r>
      <w:r w:rsidR="00C149F3">
        <w:rPr>
          <w:sz w:val="24"/>
        </w:rPr>
        <w:t>le FCH</w:t>
      </w:r>
      <w:r>
        <w:rPr>
          <w:sz w:val="24"/>
        </w:rPr>
        <w:t xml:space="preserve"> </w:t>
      </w:r>
      <w:r w:rsidRPr="00BC0266">
        <w:rPr>
          <w:sz w:val="24"/>
        </w:rPr>
        <w:t>se</w:t>
      </w:r>
      <w:r>
        <w:rPr>
          <w:sz w:val="24"/>
        </w:rPr>
        <w:t xml:space="preserve"> </w:t>
      </w:r>
      <w:r w:rsidRPr="00BC0266">
        <w:rPr>
          <w:sz w:val="24"/>
        </w:rPr>
        <w:t>réserve</w:t>
      </w:r>
      <w:r>
        <w:rPr>
          <w:sz w:val="24"/>
        </w:rPr>
        <w:t xml:space="preserve"> </w:t>
      </w:r>
      <w:r w:rsidRPr="00BC0266">
        <w:rPr>
          <w:sz w:val="24"/>
        </w:rPr>
        <w:t>le</w:t>
      </w:r>
      <w:r>
        <w:rPr>
          <w:sz w:val="24"/>
        </w:rPr>
        <w:t xml:space="preserve"> </w:t>
      </w:r>
      <w:r w:rsidRPr="00BC0266">
        <w:rPr>
          <w:sz w:val="24"/>
        </w:rPr>
        <w:t>droit</w:t>
      </w:r>
      <w:r>
        <w:rPr>
          <w:sz w:val="24"/>
        </w:rPr>
        <w:t xml:space="preserve"> </w:t>
      </w:r>
      <w:r w:rsidRPr="00BC0266">
        <w:rPr>
          <w:sz w:val="24"/>
        </w:rPr>
        <w:t>de</w:t>
      </w:r>
      <w:r>
        <w:rPr>
          <w:sz w:val="24"/>
        </w:rPr>
        <w:t xml:space="preserve"> </w:t>
      </w:r>
      <w:r w:rsidRPr="00BC0266">
        <w:rPr>
          <w:sz w:val="24"/>
        </w:rPr>
        <w:t>résilier</w:t>
      </w:r>
      <w:r>
        <w:rPr>
          <w:sz w:val="24"/>
        </w:rPr>
        <w:t xml:space="preserve"> </w:t>
      </w:r>
      <w:r w:rsidRPr="00BC0266">
        <w:rPr>
          <w:sz w:val="24"/>
        </w:rPr>
        <w:t>pour</w:t>
      </w:r>
      <w:r>
        <w:rPr>
          <w:sz w:val="24"/>
        </w:rPr>
        <w:t xml:space="preserve"> </w:t>
      </w:r>
      <w:r w:rsidRPr="00BC0266">
        <w:rPr>
          <w:sz w:val="24"/>
        </w:rPr>
        <w:t>faute</w:t>
      </w:r>
      <w:r>
        <w:rPr>
          <w:sz w:val="24"/>
        </w:rPr>
        <w:t xml:space="preserve"> </w:t>
      </w:r>
      <w:r w:rsidRPr="00BC0266">
        <w:rPr>
          <w:sz w:val="24"/>
        </w:rPr>
        <w:t>l’accord-cadre</w:t>
      </w:r>
      <w:r>
        <w:rPr>
          <w:sz w:val="24"/>
        </w:rPr>
        <w:t xml:space="preserve"> </w:t>
      </w:r>
      <w:r w:rsidRPr="00BC0266">
        <w:rPr>
          <w:sz w:val="24"/>
        </w:rPr>
        <w:t>avec</w:t>
      </w:r>
      <w:r>
        <w:rPr>
          <w:sz w:val="24"/>
        </w:rPr>
        <w:t xml:space="preserve"> </w:t>
      </w:r>
      <w:r w:rsidRPr="00BC0266">
        <w:rPr>
          <w:sz w:val="24"/>
        </w:rPr>
        <w:t>le Titulaire en raison d’une résiliation pour faute d’un</w:t>
      </w:r>
      <w:r w:rsidR="00983CAA">
        <w:rPr>
          <w:sz w:val="24"/>
        </w:rPr>
        <w:t xml:space="preserve"> marché subséquent. </w:t>
      </w:r>
    </w:p>
    <w:p w14:paraId="0B17FF36" w14:textId="77777777" w:rsidR="00BC0266" w:rsidRPr="00BC0266" w:rsidRDefault="00BC0266" w:rsidP="00BC0266">
      <w:pPr>
        <w:jc w:val="both"/>
        <w:rPr>
          <w:sz w:val="24"/>
        </w:rPr>
      </w:pPr>
      <w:r w:rsidRPr="00BC0266">
        <w:rPr>
          <w:sz w:val="24"/>
        </w:rPr>
        <w:t>Dans</w:t>
      </w:r>
      <w:r>
        <w:rPr>
          <w:sz w:val="24"/>
        </w:rPr>
        <w:t xml:space="preserve"> </w:t>
      </w:r>
      <w:r w:rsidRPr="00BC0266">
        <w:rPr>
          <w:sz w:val="24"/>
        </w:rPr>
        <w:t>cette</w:t>
      </w:r>
      <w:r>
        <w:rPr>
          <w:sz w:val="24"/>
        </w:rPr>
        <w:t xml:space="preserve"> </w:t>
      </w:r>
      <w:r w:rsidRPr="00BC0266">
        <w:rPr>
          <w:sz w:val="24"/>
        </w:rPr>
        <w:t>hypothèse,</w:t>
      </w:r>
      <w:r>
        <w:rPr>
          <w:sz w:val="24"/>
        </w:rPr>
        <w:t xml:space="preserve"> </w:t>
      </w:r>
      <w:r w:rsidRPr="00BC0266">
        <w:rPr>
          <w:sz w:val="24"/>
        </w:rPr>
        <w:t>le Titulaire</w:t>
      </w:r>
      <w:r w:rsidR="00983CAA">
        <w:rPr>
          <w:sz w:val="24"/>
        </w:rPr>
        <w:t xml:space="preserve"> </w:t>
      </w:r>
      <w:r w:rsidRPr="00BC0266">
        <w:rPr>
          <w:sz w:val="24"/>
        </w:rPr>
        <w:t>du</w:t>
      </w:r>
      <w:r>
        <w:rPr>
          <w:sz w:val="24"/>
        </w:rPr>
        <w:t xml:space="preserve"> </w:t>
      </w:r>
      <w:r w:rsidRPr="00BC0266">
        <w:rPr>
          <w:sz w:val="24"/>
        </w:rPr>
        <w:t>marché subséquent</w:t>
      </w:r>
      <w:r>
        <w:rPr>
          <w:sz w:val="24"/>
        </w:rPr>
        <w:t xml:space="preserve"> </w:t>
      </w:r>
      <w:r w:rsidRPr="00BC0266">
        <w:rPr>
          <w:sz w:val="24"/>
        </w:rPr>
        <w:t>et</w:t>
      </w:r>
      <w:r>
        <w:rPr>
          <w:sz w:val="24"/>
        </w:rPr>
        <w:t xml:space="preserve"> </w:t>
      </w:r>
      <w:r w:rsidRPr="00BC0266">
        <w:rPr>
          <w:sz w:val="24"/>
        </w:rPr>
        <w:t>de</w:t>
      </w:r>
      <w:r>
        <w:rPr>
          <w:sz w:val="24"/>
        </w:rPr>
        <w:t xml:space="preserve"> </w:t>
      </w:r>
      <w:r w:rsidRPr="00BC0266">
        <w:rPr>
          <w:sz w:val="24"/>
        </w:rPr>
        <w:t>l’accord-cadre</w:t>
      </w:r>
      <w:r>
        <w:rPr>
          <w:sz w:val="24"/>
        </w:rPr>
        <w:t xml:space="preserve"> </w:t>
      </w:r>
      <w:r w:rsidRPr="00BC0266">
        <w:rPr>
          <w:sz w:val="24"/>
        </w:rPr>
        <w:t xml:space="preserve">reste tenu de l’ensemble de ses obligations et responsabilité au titre de toutes les opérations de défiscalisation programmées ou en cours, sauf </w:t>
      </w:r>
      <w:r w:rsidR="00983CAA">
        <w:rPr>
          <w:sz w:val="24"/>
        </w:rPr>
        <w:t xml:space="preserve">décision contraire </w:t>
      </w:r>
      <w:r w:rsidR="00C149F3">
        <w:rPr>
          <w:sz w:val="24"/>
        </w:rPr>
        <w:t>du FCH</w:t>
      </w:r>
      <w:r w:rsidR="00983CAA">
        <w:rPr>
          <w:sz w:val="24"/>
        </w:rPr>
        <w:t xml:space="preserve">. </w:t>
      </w:r>
    </w:p>
    <w:p w14:paraId="32A67D14" w14:textId="2C76DE87" w:rsidR="00BC0266" w:rsidRPr="00BC0266" w:rsidRDefault="00BC0266" w:rsidP="00BC0266">
      <w:pPr>
        <w:jc w:val="both"/>
        <w:rPr>
          <w:sz w:val="24"/>
        </w:rPr>
      </w:pPr>
      <w:r w:rsidRPr="00BC0266">
        <w:rPr>
          <w:sz w:val="24"/>
        </w:rPr>
        <w:t>En</w:t>
      </w:r>
      <w:r>
        <w:rPr>
          <w:sz w:val="24"/>
        </w:rPr>
        <w:t xml:space="preserve"> </w:t>
      </w:r>
      <w:r w:rsidRPr="00BC0266">
        <w:rPr>
          <w:sz w:val="24"/>
        </w:rPr>
        <w:t>cas</w:t>
      </w:r>
      <w:r>
        <w:rPr>
          <w:sz w:val="24"/>
        </w:rPr>
        <w:t xml:space="preserve"> </w:t>
      </w:r>
      <w:r w:rsidRPr="00BC0266">
        <w:rPr>
          <w:sz w:val="24"/>
        </w:rPr>
        <w:t>de</w:t>
      </w:r>
      <w:r>
        <w:rPr>
          <w:sz w:val="24"/>
        </w:rPr>
        <w:t xml:space="preserve"> </w:t>
      </w:r>
      <w:r w:rsidRPr="00BC0266">
        <w:rPr>
          <w:sz w:val="24"/>
        </w:rPr>
        <w:t>résiliation</w:t>
      </w:r>
      <w:r>
        <w:rPr>
          <w:sz w:val="24"/>
        </w:rPr>
        <w:t xml:space="preserve"> </w:t>
      </w:r>
      <w:r w:rsidRPr="00BC0266">
        <w:rPr>
          <w:sz w:val="24"/>
        </w:rPr>
        <w:t>pour</w:t>
      </w:r>
      <w:r>
        <w:rPr>
          <w:sz w:val="24"/>
        </w:rPr>
        <w:t xml:space="preserve"> </w:t>
      </w:r>
      <w:r w:rsidRPr="00BC0266">
        <w:rPr>
          <w:sz w:val="24"/>
        </w:rPr>
        <w:t>faute</w:t>
      </w:r>
      <w:r>
        <w:rPr>
          <w:sz w:val="24"/>
        </w:rPr>
        <w:t xml:space="preserve"> </w:t>
      </w:r>
      <w:r w:rsidRPr="00BC0266">
        <w:rPr>
          <w:sz w:val="24"/>
        </w:rPr>
        <w:t>du</w:t>
      </w:r>
      <w:r>
        <w:rPr>
          <w:sz w:val="24"/>
        </w:rPr>
        <w:t xml:space="preserve"> </w:t>
      </w:r>
      <w:r w:rsidRPr="00BC0266">
        <w:rPr>
          <w:sz w:val="24"/>
        </w:rPr>
        <w:t>Titulaire</w:t>
      </w:r>
      <w:r>
        <w:rPr>
          <w:sz w:val="24"/>
        </w:rPr>
        <w:t xml:space="preserve"> </w:t>
      </w:r>
      <w:r w:rsidRPr="00BC0266">
        <w:rPr>
          <w:sz w:val="24"/>
        </w:rPr>
        <w:t>d’un marché</w:t>
      </w:r>
      <w:r>
        <w:rPr>
          <w:sz w:val="24"/>
        </w:rPr>
        <w:t xml:space="preserve"> </w:t>
      </w:r>
      <w:r w:rsidRPr="00BC0266">
        <w:rPr>
          <w:sz w:val="24"/>
        </w:rPr>
        <w:t>subséquent</w:t>
      </w:r>
      <w:r>
        <w:rPr>
          <w:sz w:val="24"/>
        </w:rPr>
        <w:t xml:space="preserve"> </w:t>
      </w:r>
      <w:r w:rsidRPr="00BC0266">
        <w:rPr>
          <w:sz w:val="24"/>
        </w:rPr>
        <w:t>et/ou</w:t>
      </w:r>
      <w:r>
        <w:rPr>
          <w:sz w:val="24"/>
        </w:rPr>
        <w:t xml:space="preserve"> </w:t>
      </w:r>
      <w:r w:rsidRPr="00BC0266">
        <w:rPr>
          <w:sz w:val="24"/>
        </w:rPr>
        <w:t>le</w:t>
      </w:r>
      <w:r>
        <w:rPr>
          <w:sz w:val="24"/>
        </w:rPr>
        <w:t xml:space="preserve"> </w:t>
      </w:r>
      <w:r w:rsidRPr="00BC0266">
        <w:rPr>
          <w:sz w:val="24"/>
        </w:rPr>
        <w:t xml:space="preserve">cas échéant de l’accord-cadre, le Titulaire s’interdit toute intervention, action </w:t>
      </w:r>
      <w:r w:rsidR="00C97D3B">
        <w:rPr>
          <w:sz w:val="24"/>
        </w:rPr>
        <w:t xml:space="preserve">de quelque nature qu’elle soit </w:t>
      </w:r>
      <w:r w:rsidRPr="00BC0266">
        <w:rPr>
          <w:sz w:val="24"/>
        </w:rPr>
        <w:t>au titre de l’opération de défiscalisation objet du marché subsé</w:t>
      </w:r>
      <w:r w:rsidR="00C149F3">
        <w:rPr>
          <w:sz w:val="24"/>
        </w:rPr>
        <w:t>quent ou en lien avec celle-ci.</w:t>
      </w:r>
    </w:p>
    <w:p w14:paraId="38194687" w14:textId="77777777" w:rsidR="00BC0266" w:rsidRPr="00BC0266" w:rsidRDefault="00BC0266" w:rsidP="00BC0266">
      <w:pPr>
        <w:jc w:val="both"/>
        <w:rPr>
          <w:sz w:val="24"/>
        </w:rPr>
      </w:pPr>
      <w:r w:rsidRPr="00BC0266">
        <w:rPr>
          <w:sz w:val="24"/>
        </w:rPr>
        <w:t xml:space="preserve"> </w:t>
      </w:r>
    </w:p>
    <w:p w14:paraId="4AD6CA9F" w14:textId="77777777" w:rsidR="00C149F3" w:rsidRPr="009801E8" w:rsidRDefault="00C149F3" w:rsidP="00C149F3">
      <w:pPr>
        <w:pStyle w:val="Titre1"/>
      </w:pPr>
      <w:bookmarkStart w:id="33" w:name="_Toc145312189"/>
      <w:r>
        <w:lastRenderedPageBreak/>
        <w:t>PARTIE 3 :</w:t>
      </w:r>
      <w:r w:rsidRPr="009801E8">
        <w:t xml:space="preserve"> </w:t>
      </w:r>
      <w:r>
        <w:t>Clauses diverses</w:t>
      </w:r>
      <w:bookmarkEnd w:id="33"/>
    </w:p>
    <w:p w14:paraId="2D281A18" w14:textId="77777777" w:rsidR="00C149F3" w:rsidRPr="00BC0266" w:rsidRDefault="00C149F3" w:rsidP="00C149F3">
      <w:pPr>
        <w:pStyle w:val="Titre2"/>
        <w:keepNext w:val="0"/>
        <w:keepLines w:val="0"/>
        <w:spacing w:before="0" w:after="300" w:line="240" w:lineRule="auto"/>
        <w:ind w:left="720" w:hanging="360"/>
        <w:contextualSpacing/>
        <w:rPr>
          <w:sz w:val="24"/>
        </w:rPr>
      </w:pPr>
      <w:bookmarkStart w:id="34" w:name="_Toc145312190"/>
      <w:r>
        <w:rPr>
          <w:bCs w:val="0"/>
          <w:color w:val="17365D" w:themeColor="text2" w:themeShade="BF"/>
          <w:spacing w:val="5"/>
          <w:kern w:val="28"/>
          <w:sz w:val="28"/>
          <w:szCs w:val="52"/>
        </w:rPr>
        <w:t>Article</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1</w:t>
      </w:r>
      <w:r w:rsidR="006408CE">
        <w:rPr>
          <w:bCs w:val="0"/>
          <w:color w:val="17365D" w:themeColor="text2" w:themeShade="BF"/>
          <w:spacing w:val="5"/>
          <w:kern w:val="28"/>
          <w:sz w:val="28"/>
          <w:szCs w:val="52"/>
        </w:rPr>
        <w:t>3</w:t>
      </w:r>
      <w:r>
        <w:rPr>
          <w:bCs w:val="0"/>
          <w:color w:val="17365D" w:themeColor="text2" w:themeShade="BF"/>
          <w:spacing w:val="5"/>
          <w:kern w:val="28"/>
          <w:sz w:val="28"/>
          <w:szCs w:val="52"/>
        </w:rPr>
        <w:t xml:space="preserve"> –</w:t>
      </w:r>
      <w:r w:rsidRPr="005852FA">
        <w:rPr>
          <w:bCs w:val="0"/>
          <w:color w:val="17365D" w:themeColor="text2" w:themeShade="BF"/>
          <w:spacing w:val="5"/>
          <w:kern w:val="28"/>
          <w:sz w:val="28"/>
          <w:szCs w:val="52"/>
        </w:rPr>
        <w:t xml:space="preserve"> </w:t>
      </w:r>
      <w:r>
        <w:rPr>
          <w:bCs w:val="0"/>
          <w:color w:val="17365D" w:themeColor="text2" w:themeShade="BF"/>
          <w:spacing w:val="5"/>
          <w:kern w:val="28"/>
          <w:sz w:val="28"/>
          <w:szCs w:val="52"/>
        </w:rPr>
        <w:t>Non cessibilité</w:t>
      </w:r>
      <w:bookmarkEnd w:id="34"/>
      <w:r w:rsidRPr="00BC0266">
        <w:rPr>
          <w:sz w:val="24"/>
        </w:rPr>
        <w:t xml:space="preserve"> </w:t>
      </w:r>
    </w:p>
    <w:p w14:paraId="767DC682" w14:textId="1B567033" w:rsidR="00BC0266" w:rsidRPr="00BC0266" w:rsidRDefault="00BC0266" w:rsidP="00BC0266">
      <w:pPr>
        <w:jc w:val="both"/>
        <w:rPr>
          <w:sz w:val="24"/>
        </w:rPr>
      </w:pPr>
      <w:r w:rsidRPr="00BC0266">
        <w:rPr>
          <w:sz w:val="24"/>
        </w:rPr>
        <w:t>Le</w:t>
      </w:r>
      <w:r>
        <w:rPr>
          <w:sz w:val="24"/>
        </w:rPr>
        <w:t xml:space="preserve"> </w:t>
      </w:r>
      <w:r w:rsidRPr="00BC0266">
        <w:rPr>
          <w:sz w:val="24"/>
        </w:rPr>
        <w:t>présent</w:t>
      </w:r>
      <w:r>
        <w:rPr>
          <w:sz w:val="24"/>
        </w:rPr>
        <w:t xml:space="preserve"> </w:t>
      </w:r>
      <w:r w:rsidRPr="00BC0266">
        <w:rPr>
          <w:sz w:val="24"/>
        </w:rPr>
        <w:t>accord-cadre</w:t>
      </w:r>
      <w:r>
        <w:rPr>
          <w:sz w:val="24"/>
        </w:rPr>
        <w:t xml:space="preserve"> </w:t>
      </w:r>
      <w:r w:rsidRPr="00BC0266">
        <w:rPr>
          <w:sz w:val="24"/>
        </w:rPr>
        <w:t>et</w:t>
      </w:r>
      <w:r>
        <w:rPr>
          <w:sz w:val="24"/>
        </w:rPr>
        <w:t xml:space="preserve"> </w:t>
      </w:r>
      <w:r w:rsidRPr="00BC0266">
        <w:rPr>
          <w:sz w:val="24"/>
        </w:rPr>
        <w:t>ses</w:t>
      </w:r>
      <w:r>
        <w:rPr>
          <w:sz w:val="24"/>
        </w:rPr>
        <w:t xml:space="preserve"> </w:t>
      </w:r>
      <w:r w:rsidRPr="00BC0266">
        <w:rPr>
          <w:sz w:val="24"/>
        </w:rPr>
        <w:t>marchés</w:t>
      </w:r>
      <w:r>
        <w:rPr>
          <w:sz w:val="24"/>
        </w:rPr>
        <w:t xml:space="preserve"> </w:t>
      </w:r>
      <w:r w:rsidRPr="00BC0266">
        <w:rPr>
          <w:sz w:val="24"/>
        </w:rPr>
        <w:t>subséquents ne</w:t>
      </w:r>
      <w:r>
        <w:rPr>
          <w:sz w:val="24"/>
        </w:rPr>
        <w:t xml:space="preserve"> </w:t>
      </w:r>
      <w:r w:rsidRPr="00BC0266">
        <w:rPr>
          <w:sz w:val="24"/>
        </w:rPr>
        <w:t>peuvent</w:t>
      </w:r>
      <w:r>
        <w:rPr>
          <w:sz w:val="24"/>
        </w:rPr>
        <w:t xml:space="preserve"> </w:t>
      </w:r>
      <w:r w:rsidRPr="00BC0266">
        <w:rPr>
          <w:sz w:val="24"/>
        </w:rPr>
        <w:t>faire</w:t>
      </w:r>
      <w:r>
        <w:rPr>
          <w:sz w:val="24"/>
        </w:rPr>
        <w:t xml:space="preserve"> </w:t>
      </w:r>
      <w:r w:rsidRPr="00BC0266">
        <w:rPr>
          <w:sz w:val="24"/>
        </w:rPr>
        <w:t>l’objet</w:t>
      </w:r>
      <w:r>
        <w:rPr>
          <w:sz w:val="24"/>
        </w:rPr>
        <w:t xml:space="preserve"> </w:t>
      </w:r>
      <w:r w:rsidRPr="00BC0266">
        <w:rPr>
          <w:sz w:val="24"/>
        </w:rPr>
        <w:t>d’</w:t>
      </w:r>
      <w:r w:rsidR="00802AFB">
        <w:rPr>
          <w:sz w:val="24"/>
        </w:rPr>
        <w:t>auc</w:t>
      </w:r>
      <w:r w:rsidRPr="00BC0266">
        <w:rPr>
          <w:sz w:val="24"/>
        </w:rPr>
        <w:t xml:space="preserve">une cession par le titulaire, sauf autorisation expresse </w:t>
      </w:r>
      <w:r w:rsidR="00C149F3">
        <w:rPr>
          <w:sz w:val="24"/>
        </w:rPr>
        <w:t>du FCH</w:t>
      </w:r>
      <w:r w:rsidRPr="00BC0266">
        <w:rPr>
          <w:sz w:val="24"/>
        </w:rPr>
        <w:t xml:space="preserve"> et uniquement au bénéfice d’un </w:t>
      </w:r>
      <w:r w:rsidR="005F09D7">
        <w:rPr>
          <w:sz w:val="24"/>
        </w:rPr>
        <w:t>monteur</w:t>
      </w:r>
      <w:r w:rsidRPr="00BC0266">
        <w:rPr>
          <w:sz w:val="24"/>
        </w:rPr>
        <w:t xml:space="preserve"> remplissant les conditions de l’article 242 </w:t>
      </w:r>
      <w:proofErr w:type="spellStart"/>
      <w:r w:rsidRPr="00BC0266">
        <w:rPr>
          <w:sz w:val="24"/>
        </w:rPr>
        <w:t>septies</w:t>
      </w:r>
      <w:proofErr w:type="spellEnd"/>
      <w:r w:rsidRPr="00BC0266">
        <w:rPr>
          <w:sz w:val="24"/>
        </w:rPr>
        <w:t xml:space="preserve"> du Code Général des Impôts et répondant de façon équivalente aux exigences de candidature supportées par le Titulaire.</w:t>
      </w:r>
      <w:r>
        <w:rPr>
          <w:sz w:val="24"/>
        </w:rPr>
        <w:t xml:space="preserve"> </w:t>
      </w:r>
    </w:p>
    <w:p w14:paraId="5235677B" w14:textId="77777777" w:rsidR="009B55C1" w:rsidRDefault="009B55C1"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65CFB611" w14:textId="77777777" w:rsidR="00BC0266" w:rsidRPr="00C149F3" w:rsidRDefault="00C149F3"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35" w:name="_Toc145312191"/>
      <w:r>
        <w:rPr>
          <w:bCs w:val="0"/>
          <w:color w:val="17365D" w:themeColor="text2" w:themeShade="BF"/>
          <w:spacing w:val="5"/>
          <w:kern w:val="28"/>
          <w:sz w:val="28"/>
          <w:szCs w:val="52"/>
        </w:rPr>
        <w:t>Article 1</w:t>
      </w:r>
      <w:r w:rsidR="006408CE">
        <w:rPr>
          <w:bCs w:val="0"/>
          <w:color w:val="17365D" w:themeColor="text2" w:themeShade="BF"/>
          <w:spacing w:val="5"/>
          <w:kern w:val="28"/>
          <w:sz w:val="28"/>
          <w:szCs w:val="52"/>
        </w:rPr>
        <w:t>4</w:t>
      </w:r>
      <w:r>
        <w:rPr>
          <w:bCs w:val="0"/>
          <w:color w:val="17365D" w:themeColor="text2" w:themeShade="BF"/>
          <w:spacing w:val="5"/>
          <w:kern w:val="28"/>
          <w:sz w:val="28"/>
          <w:szCs w:val="52"/>
        </w:rPr>
        <w:t xml:space="preserve"> – Assurances</w:t>
      </w:r>
      <w:bookmarkEnd w:id="35"/>
      <w:r>
        <w:rPr>
          <w:bCs w:val="0"/>
          <w:color w:val="17365D" w:themeColor="text2" w:themeShade="BF"/>
          <w:spacing w:val="5"/>
          <w:kern w:val="28"/>
          <w:sz w:val="28"/>
          <w:szCs w:val="52"/>
        </w:rPr>
        <w:t xml:space="preserve"> </w:t>
      </w:r>
    </w:p>
    <w:p w14:paraId="6C88A8F4" w14:textId="77777777" w:rsidR="00BC0266" w:rsidRPr="00BC0266" w:rsidRDefault="00BC0266" w:rsidP="00BC0266">
      <w:pPr>
        <w:jc w:val="both"/>
        <w:rPr>
          <w:sz w:val="24"/>
        </w:rPr>
      </w:pPr>
      <w:r w:rsidRPr="00BC0266">
        <w:rPr>
          <w:sz w:val="24"/>
        </w:rPr>
        <w:t>Le Titulaire doit justifier</w:t>
      </w:r>
      <w:r w:rsidR="00C149F3">
        <w:rPr>
          <w:sz w:val="24"/>
        </w:rPr>
        <w:t xml:space="preserve">, en cours d'exécution </w:t>
      </w:r>
      <w:r w:rsidRPr="00BC0266">
        <w:rPr>
          <w:sz w:val="24"/>
        </w:rPr>
        <w:t>de ses prestations, qu'il est titulaire d'une assurance de responsabilité civile contractée auprès d'une compagnie d'assurance de solvabilité notoire, couvrant les conséquences pécuniaires</w:t>
      </w:r>
      <w:r>
        <w:rPr>
          <w:sz w:val="24"/>
        </w:rPr>
        <w:t xml:space="preserve"> </w:t>
      </w:r>
      <w:r w:rsidRPr="00BC0266">
        <w:rPr>
          <w:sz w:val="24"/>
        </w:rPr>
        <w:t>des</w:t>
      </w:r>
      <w:r>
        <w:rPr>
          <w:sz w:val="24"/>
        </w:rPr>
        <w:t xml:space="preserve"> </w:t>
      </w:r>
      <w:r w:rsidRPr="00BC0266">
        <w:rPr>
          <w:sz w:val="24"/>
        </w:rPr>
        <w:t>responsabilités</w:t>
      </w:r>
      <w:r>
        <w:rPr>
          <w:sz w:val="24"/>
        </w:rPr>
        <w:t xml:space="preserve"> </w:t>
      </w:r>
      <w:r w:rsidRPr="00BC0266">
        <w:rPr>
          <w:sz w:val="24"/>
        </w:rPr>
        <w:t>pouvant</w:t>
      </w:r>
      <w:r>
        <w:rPr>
          <w:sz w:val="24"/>
        </w:rPr>
        <w:t xml:space="preserve"> </w:t>
      </w:r>
      <w:r w:rsidRPr="00BC0266">
        <w:rPr>
          <w:sz w:val="24"/>
        </w:rPr>
        <w:t>lui</w:t>
      </w:r>
      <w:r>
        <w:rPr>
          <w:sz w:val="24"/>
        </w:rPr>
        <w:t xml:space="preserve"> </w:t>
      </w:r>
      <w:r w:rsidRPr="00BC0266">
        <w:rPr>
          <w:sz w:val="24"/>
        </w:rPr>
        <w:t>incomber</w:t>
      </w:r>
      <w:r>
        <w:rPr>
          <w:sz w:val="24"/>
        </w:rPr>
        <w:t xml:space="preserve"> </w:t>
      </w:r>
      <w:r w:rsidRPr="00BC0266">
        <w:rPr>
          <w:sz w:val="24"/>
        </w:rPr>
        <w:t>à</w:t>
      </w:r>
      <w:r>
        <w:rPr>
          <w:sz w:val="24"/>
        </w:rPr>
        <w:t xml:space="preserve"> </w:t>
      </w:r>
      <w:r w:rsidRPr="00BC0266">
        <w:rPr>
          <w:sz w:val="24"/>
        </w:rPr>
        <w:t>quelque</w:t>
      </w:r>
      <w:r>
        <w:rPr>
          <w:sz w:val="24"/>
        </w:rPr>
        <w:t xml:space="preserve"> </w:t>
      </w:r>
      <w:r w:rsidRPr="00BC0266">
        <w:rPr>
          <w:sz w:val="24"/>
        </w:rPr>
        <w:t>titre</w:t>
      </w:r>
      <w:r>
        <w:rPr>
          <w:sz w:val="24"/>
        </w:rPr>
        <w:t xml:space="preserve"> </w:t>
      </w:r>
      <w:r w:rsidRPr="00BC0266">
        <w:rPr>
          <w:sz w:val="24"/>
        </w:rPr>
        <w:t>que</w:t>
      </w:r>
      <w:r>
        <w:rPr>
          <w:sz w:val="24"/>
        </w:rPr>
        <w:t xml:space="preserve"> </w:t>
      </w:r>
      <w:r w:rsidRPr="00BC0266">
        <w:rPr>
          <w:sz w:val="24"/>
        </w:rPr>
        <w:t>ce</w:t>
      </w:r>
      <w:r>
        <w:rPr>
          <w:sz w:val="24"/>
        </w:rPr>
        <w:t xml:space="preserve"> </w:t>
      </w:r>
      <w:r w:rsidRPr="00BC0266">
        <w:rPr>
          <w:sz w:val="24"/>
        </w:rPr>
        <w:t>soit,</w:t>
      </w:r>
      <w:r>
        <w:rPr>
          <w:sz w:val="24"/>
        </w:rPr>
        <w:t xml:space="preserve"> </w:t>
      </w:r>
      <w:r w:rsidRPr="00BC0266">
        <w:rPr>
          <w:sz w:val="24"/>
        </w:rPr>
        <w:t xml:space="preserve">y compris du fait de ses sous-traitants ou cotraitants si le titulaire est mandataire d’un groupement, à raison des dommages de toute nature causés aux tiers ou </w:t>
      </w:r>
      <w:r w:rsidR="006408CE">
        <w:rPr>
          <w:sz w:val="24"/>
        </w:rPr>
        <w:t>au FCH</w:t>
      </w:r>
      <w:r w:rsidRPr="00BC0266">
        <w:rPr>
          <w:sz w:val="24"/>
        </w:rPr>
        <w:t>.</w:t>
      </w:r>
      <w:r>
        <w:rPr>
          <w:sz w:val="24"/>
        </w:rPr>
        <w:t xml:space="preserve"> </w:t>
      </w:r>
      <w:r w:rsidRPr="00BC0266">
        <w:rPr>
          <w:sz w:val="24"/>
        </w:rPr>
        <w:t>Cette assurance</w:t>
      </w:r>
      <w:r>
        <w:rPr>
          <w:sz w:val="24"/>
        </w:rPr>
        <w:t xml:space="preserve"> </w:t>
      </w:r>
      <w:r w:rsidRPr="00BC0266">
        <w:rPr>
          <w:sz w:val="24"/>
        </w:rPr>
        <w:t xml:space="preserve">est maintenue en vigueur pendant toute la durée du contrat. Les polices d'assurances devront prévoir des montants </w:t>
      </w:r>
      <w:r w:rsidR="00C149F3">
        <w:rPr>
          <w:sz w:val="24"/>
        </w:rPr>
        <w:t xml:space="preserve">de garantie suffisants pour la </w:t>
      </w:r>
      <w:r w:rsidRPr="00BC0266">
        <w:rPr>
          <w:sz w:val="24"/>
        </w:rPr>
        <w:t xml:space="preserve">couverture des risques encourus et inclure les conséquences de toute solidarité. </w:t>
      </w:r>
    </w:p>
    <w:p w14:paraId="51C67F5E" w14:textId="77777777" w:rsidR="00C149F3" w:rsidRPr="00BC0266" w:rsidRDefault="00C149F3" w:rsidP="00BC0266">
      <w:pPr>
        <w:jc w:val="both"/>
        <w:rPr>
          <w:sz w:val="24"/>
        </w:rPr>
      </w:pPr>
      <w:r>
        <w:rPr>
          <w:sz w:val="24"/>
        </w:rPr>
        <w:t xml:space="preserve"> </w:t>
      </w:r>
      <w:r w:rsidR="00BC0266" w:rsidRPr="00BC0266">
        <w:rPr>
          <w:sz w:val="24"/>
        </w:rPr>
        <w:t>Le cas échéant, le Titulaire s'engage à obtenir de ses sous</w:t>
      </w:r>
      <w:r>
        <w:rPr>
          <w:sz w:val="24"/>
        </w:rPr>
        <w:t xml:space="preserve">-traitants la justification de </w:t>
      </w:r>
      <w:r w:rsidR="00BC0266" w:rsidRPr="00BC0266">
        <w:rPr>
          <w:sz w:val="24"/>
        </w:rPr>
        <w:t>souscriptions d'assurances garantissant leurs responsabil</w:t>
      </w:r>
      <w:r>
        <w:rPr>
          <w:sz w:val="24"/>
        </w:rPr>
        <w:t xml:space="preserve">ités dans les mêmes conditions </w:t>
      </w:r>
      <w:r w:rsidR="00BC0266" w:rsidRPr="00BC0266">
        <w:rPr>
          <w:sz w:val="24"/>
        </w:rPr>
        <w:t xml:space="preserve">que celles précisées ci-dessus. Il s'engage à maintenir les assurances requises en état de validité pour la durée de ses responsabilités. </w:t>
      </w:r>
    </w:p>
    <w:p w14:paraId="47111430" w14:textId="77777777" w:rsidR="009B55C1" w:rsidRDefault="009B55C1"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p>
    <w:p w14:paraId="75404383" w14:textId="77777777" w:rsidR="00C149F3" w:rsidRPr="00C149F3" w:rsidRDefault="00C149F3" w:rsidP="00C149F3">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bookmarkStart w:id="36" w:name="_Toc145312192"/>
      <w:r>
        <w:rPr>
          <w:bCs w:val="0"/>
          <w:color w:val="17365D" w:themeColor="text2" w:themeShade="BF"/>
          <w:spacing w:val="5"/>
          <w:kern w:val="28"/>
          <w:sz w:val="28"/>
          <w:szCs w:val="52"/>
        </w:rPr>
        <w:t>Article 1</w:t>
      </w:r>
      <w:r w:rsidR="006408CE">
        <w:rPr>
          <w:bCs w:val="0"/>
          <w:color w:val="17365D" w:themeColor="text2" w:themeShade="BF"/>
          <w:spacing w:val="5"/>
          <w:kern w:val="28"/>
          <w:sz w:val="28"/>
          <w:szCs w:val="52"/>
        </w:rPr>
        <w:t>5</w:t>
      </w:r>
      <w:r>
        <w:rPr>
          <w:bCs w:val="0"/>
          <w:color w:val="17365D" w:themeColor="text2" w:themeShade="BF"/>
          <w:spacing w:val="5"/>
          <w:kern w:val="28"/>
          <w:sz w:val="28"/>
          <w:szCs w:val="52"/>
        </w:rPr>
        <w:t xml:space="preserve"> – Propriété intellectuelle et autres droits</w:t>
      </w:r>
      <w:bookmarkEnd w:id="36"/>
      <w:r>
        <w:rPr>
          <w:bCs w:val="0"/>
          <w:color w:val="17365D" w:themeColor="text2" w:themeShade="BF"/>
          <w:spacing w:val="5"/>
          <w:kern w:val="28"/>
          <w:sz w:val="28"/>
          <w:szCs w:val="52"/>
        </w:rPr>
        <w:t xml:space="preserve"> </w:t>
      </w:r>
    </w:p>
    <w:p w14:paraId="3D6ADCC5" w14:textId="77777777" w:rsidR="009B55C1" w:rsidRDefault="00BC0266" w:rsidP="00BC0266">
      <w:pPr>
        <w:jc w:val="both"/>
        <w:rPr>
          <w:sz w:val="24"/>
        </w:rPr>
      </w:pPr>
      <w:r w:rsidRPr="00BC0266">
        <w:rPr>
          <w:sz w:val="24"/>
        </w:rPr>
        <w:t>Le Titulaire du présent accord-cadre et d’un marché subséq</w:t>
      </w:r>
      <w:r w:rsidR="00C149F3">
        <w:rPr>
          <w:sz w:val="24"/>
        </w:rPr>
        <w:t xml:space="preserve">uent cède au FCH la totalité </w:t>
      </w:r>
      <w:r w:rsidRPr="00BC0266">
        <w:rPr>
          <w:sz w:val="24"/>
        </w:rPr>
        <w:t>des droits de propriété intellectuelle et de tout droit de toute nature protégeant les prestations rendues au titre de ces contrats, pour la durée légale de ces droits, pour toute utilisation en lien avec l’exécution de ces contrats ou de tout contrat futur de même nature, sur tout support et dans le monde entier.</w:t>
      </w:r>
    </w:p>
    <w:p w14:paraId="47A445DC" w14:textId="77777777" w:rsidR="00C149F3" w:rsidRPr="00B63068" w:rsidRDefault="00BC0266" w:rsidP="00B6306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r w:rsidRPr="00B63068">
        <w:rPr>
          <w:bCs w:val="0"/>
          <w:color w:val="17365D" w:themeColor="text2" w:themeShade="BF"/>
          <w:spacing w:val="5"/>
          <w:kern w:val="28"/>
          <w:sz w:val="28"/>
          <w:szCs w:val="52"/>
        </w:rPr>
        <w:t xml:space="preserve"> </w:t>
      </w:r>
    </w:p>
    <w:p w14:paraId="0418F007" w14:textId="77777777" w:rsidR="00BC0266" w:rsidRPr="00BC0266" w:rsidRDefault="00C149F3" w:rsidP="00C149F3">
      <w:pPr>
        <w:pStyle w:val="Titre2"/>
        <w:keepNext w:val="0"/>
        <w:keepLines w:val="0"/>
        <w:spacing w:before="0" w:after="300" w:line="240" w:lineRule="auto"/>
        <w:ind w:left="720" w:hanging="360"/>
        <w:contextualSpacing/>
        <w:rPr>
          <w:sz w:val="24"/>
        </w:rPr>
      </w:pPr>
      <w:bookmarkStart w:id="37" w:name="_Toc145312193"/>
      <w:r>
        <w:rPr>
          <w:bCs w:val="0"/>
          <w:color w:val="17365D" w:themeColor="text2" w:themeShade="BF"/>
          <w:spacing w:val="5"/>
          <w:kern w:val="28"/>
          <w:sz w:val="28"/>
          <w:szCs w:val="52"/>
        </w:rPr>
        <w:t>Article 1</w:t>
      </w:r>
      <w:r w:rsidR="006408CE">
        <w:rPr>
          <w:bCs w:val="0"/>
          <w:color w:val="17365D" w:themeColor="text2" w:themeShade="BF"/>
          <w:spacing w:val="5"/>
          <w:kern w:val="28"/>
          <w:sz w:val="28"/>
          <w:szCs w:val="52"/>
        </w:rPr>
        <w:t>6</w:t>
      </w:r>
      <w:r>
        <w:rPr>
          <w:bCs w:val="0"/>
          <w:color w:val="17365D" w:themeColor="text2" w:themeShade="BF"/>
          <w:spacing w:val="5"/>
          <w:kern w:val="28"/>
          <w:sz w:val="28"/>
          <w:szCs w:val="52"/>
        </w:rPr>
        <w:t xml:space="preserve"> – Règlement des litiges</w:t>
      </w:r>
      <w:bookmarkEnd w:id="37"/>
      <w:r w:rsidR="00BC0266" w:rsidRPr="00BC0266">
        <w:rPr>
          <w:sz w:val="24"/>
        </w:rPr>
        <w:t xml:space="preserve"> </w:t>
      </w:r>
    </w:p>
    <w:p w14:paraId="4BBCED9F" w14:textId="77777777" w:rsidR="00C149F3" w:rsidRPr="009367E7" w:rsidRDefault="00C149F3" w:rsidP="00DE14AD">
      <w:pPr>
        <w:pStyle w:val="Titre3"/>
        <w:numPr>
          <w:ilvl w:val="0"/>
          <w:numId w:val="15"/>
        </w:numPr>
      </w:pPr>
      <w:bookmarkStart w:id="38" w:name="_Toc145312194"/>
      <w:r>
        <w:t>Règlement à l’amiable</w:t>
      </w:r>
      <w:bookmarkEnd w:id="38"/>
    </w:p>
    <w:p w14:paraId="29F4C5A1" w14:textId="77777777" w:rsidR="00BC0266" w:rsidRPr="00BC0266" w:rsidRDefault="00BC0266" w:rsidP="00BC0266">
      <w:pPr>
        <w:jc w:val="both"/>
        <w:rPr>
          <w:sz w:val="24"/>
        </w:rPr>
      </w:pPr>
      <w:r w:rsidRPr="00BC0266">
        <w:rPr>
          <w:sz w:val="24"/>
        </w:rPr>
        <w:t>Si un différend survient à l’occasion de l’interprétation ou d</w:t>
      </w:r>
      <w:r w:rsidR="00C149F3">
        <w:rPr>
          <w:sz w:val="24"/>
        </w:rPr>
        <w:t xml:space="preserve">e l’exécution de l’accord-cadre </w:t>
      </w:r>
      <w:r w:rsidRPr="00BC0266">
        <w:rPr>
          <w:sz w:val="24"/>
        </w:rPr>
        <w:t>ou d’un des marchés subséquents, les parties s’efforc</w:t>
      </w:r>
      <w:r w:rsidR="00C149F3">
        <w:rPr>
          <w:sz w:val="24"/>
        </w:rPr>
        <w:t xml:space="preserve">eront de le régler à l’amiable </w:t>
      </w:r>
      <w:r w:rsidRPr="00BC0266">
        <w:rPr>
          <w:sz w:val="24"/>
        </w:rPr>
        <w:t xml:space="preserve">préalablement à toute action en justice. </w:t>
      </w:r>
    </w:p>
    <w:p w14:paraId="2E4E754D" w14:textId="77777777" w:rsidR="00BC0266" w:rsidRPr="00BC0266" w:rsidRDefault="00BC0266" w:rsidP="00DE14AD">
      <w:pPr>
        <w:pStyle w:val="Titre3"/>
        <w:numPr>
          <w:ilvl w:val="0"/>
          <w:numId w:val="15"/>
        </w:numPr>
      </w:pPr>
      <w:bookmarkStart w:id="39" w:name="_Toc145312195"/>
      <w:r w:rsidRPr="00BC0266">
        <w:lastRenderedPageBreak/>
        <w:t>Droit applicable</w:t>
      </w:r>
      <w:bookmarkEnd w:id="39"/>
      <w:r w:rsidRPr="00BC0266">
        <w:t xml:space="preserve"> </w:t>
      </w:r>
    </w:p>
    <w:p w14:paraId="12F6CD36" w14:textId="77777777" w:rsidR="00BC0266" w:rsidRPr="00BC0266" w:rsidRDefault="00BC0266" w:rsidP="00BC0266">
      <w:pPr>
        <w:jc w:val="both"/>
        <w:rPr>
          <w:sz w:val="24"/>
        </w:rPr>
      </w:pPr>
      <w:r w:rsidRPr="00BC0266">
        <w:rPr>
          <w:sz w:val="24"/>
        </w:rPr>
        <w:t xml:space="preserve">Le droit français est seul applicable à l’accord cadre et aux marchés subséquents. </w:t>
      </w:r>
    </w:p>
    <w:p w14:paraId="212B59F9" w14:textId="77777777" w:rsidR="00BC0266" w:rsidRPr="00BC0266" w:rsidRDefault="00BC0266" w:rsidP="00DE14AD">
      <w:pPr>
        <w:pStyle w:val="Titre3"/>
        <w:numPr>
          <w:ilvl w:val="0"/>
          <w:numId w:val="15"/>
        </w:numPr>
      </w:pPr>
      <w:bookmarkStart w:id="40" w:name="_Toc145312196"/>
      <w:r w:rsidRPr="00BC0266">
        <w:t>Juridiction compétente</w:t>
      </w:r>
      <w:bookmarkEnd w:id="40"/>
      <w:r w:rsidRPr="00BC0266">
        <w:t xml:space="preserve"> </w:t>
      </w:r>
    </w:p>
    <w:p w14:paraId="172778A1" w14:textId="225865A9" w:rsidR="00BC0266" w:rsidRPr="00BC0266" w:rsidRDefault="00BC0266" w:rsidP="00BC0266">
      <w:pPr>
        <w:jc w:val="both"/>
        <w:rPr>
          <w:sz w:val="24"/>
        </w:rPr>
      </w:pPr>
      <w:r w:rsidRPr="00BC0266">
        <w:rPr>
          <w:sz w:val="24"/>
        </w:rPr>
        <w:t>En</w:t>
      </w:r>
      <w:r>
        <w:rPr>
          <w:sz w:val="24"/>
        </w:rPr>
        <w:t xml:space="preserve"> </w:t>
      </w:r>
      <w:r w:rsidRPr="00BC0266">
        <w:rPr>
          <w:sz w:val="24"/>
        </w:rPr>
        <w:t>cas</w:t>
      </w:r>
      <w:r>
        <w:rPr>
          <w:sz w:val="24"/>
        </w:rPr>
        <w:t xml:space="preserve"> </w:t>
      </w:r>
      <w:r w:rsidRPr="00BC0266">
        <w:rPr>
          <w:sz w:val="24"/>
        </w:rPr>
        <w:t>de</w:t>
      </w:r>
      <w:r>
        <w:rPr>
          <w:sz w:val="24"/>
        </w:rPr>
        <w:t xml:space="preserve"> </w:t>
      </w:r>
      <w:r w:rsidRPr="00BC0266">
        <w:rPr>
          <w:sz w:val="24"/>
        </w:rPr>
        <w:t>litige,</w:t>
      </w:r>
      <w:r>
        <w:rPr>
          <w:sz w:val="24"/>
        </w:rPr>
        <w:t xml:space="preserve"> </w:t>
      </w:r>
      <w:r w:rsidRPr="00BC0266">
        <w:rPr>
          <w:sz w:val="24"/>
        </w:rPr>
        <w:t>le</w:t>
      </w:r>
      <w:r>
        <w:rPr>
          <w:sz w:val="24"/>
        </w:rPr>
        <w:t xml:space="preserve"> </w:t>
      </w:r>
      <w:r w:rsidRPr="00BC0266">
        <w:rPr>
          <w:sz w:val="24"/>
        </w:rPr>
        <w:t>tribunal</w:t>
      </w:r>
      <w:r>
        <w:rPr>
          <w:sz w:val="24"/>
        </w:rPr>
        <w:t xml:space="preserve"> </w:t>
      </w:r>
      <w:r w:rsidRPr="00BC0266">
        <w:rPr>
          <w:sz w:val="24"/>
        </w:rPr>
        <w:t>compétent</w:t>
      </w:r>
      <w:r>
        <w:rPr>
          <w:sz w:val="24"/>
        </w:rPr>
        <w:t xml:space="preserve"> </w:t>
      </w:r>
      <w:r w:rsidRPr="00BC0266">
        <w:rPr>
          <w:sz w:val="24"/>
        </w:rPr>
        <w:t>en</w:t>
      </w:r>
      <w:r>
        <w:rPr>
          <w:sz w:val="24"/>
        </w:rPr>
        <w:t xml:space="preserve"> </w:t>
      </w:r>
      <w:r w:rsidRPr="00BC0266">
        <w:rPr>
          <w:sz w:val="24"/>
        </w:rPr>
        <w:t>premier ressort</w:t>
      </w:r>
      <w:r>
        <w:rPr>
          <w:sz w:val="24"/>
        </w:rPr>
        <w:t xml:space="preserve"> </w:t>
      </w:r>
      <w:r w:rsidRPr="00BC0266">
        <w:rPr>
          <w:sz w:val="24"/>
        </w:rPr>
        <w:t>est</w:t>
      </w:r>
      <w:r>
        <w:rPr>
          <w:sz w:val="24"/>
        </w:rPr>
        <w:t xml:space="preserve"> </w:t>
      </w:r>
      <w:r w:rsidRPr="00BC0266">
        <w:rPr>
          <w:sz w:val="24"/>
        </w:rPr>
        <w:t>le</w:t>
      </w:r>
      <w:r>
        <w:rPr>
          <w:sz w:val="24"/>
        </w:rPr>
        <w:t xml:space="preserve"> </w:t>
      </w:r>
      <w:r w:rsidRPr="00BC0266">
        <w:rPr>
          <w:sz w:val="24"/>
        </w:rPr>
        <w:t>tribunal</w:t>
      </w:r>
      <w:r>
        <w:rPr>
          <w:sz w:val="24"/>
        </w:rPr>
        <w:t xml:space="preserve"> </w:t>
      </w:r>
      <w:r w:rsidRPr="00BC0266">
        <w:rPr>
          <w:sz w:val="24"/>
        </w:rPr>
        <w:t>de</w:t>
      </w:r>
      <w:r>
        <w:rPr>
          <w:sz w:val="24"/>
        </w:rPr>
        <w:t xml:space="preserve"> </w:t>
      </w:r>
      <w:r w:rsidR="00802AFB">
        <w:rPr>
          <w:sz w:val="24"/>
        </w:rPr>
        <w:t>première</w:t>
      </w:r>
      <w:r w:rsidR="00C149F3">
        <w:rPr>
          <w:sz w:val="24"/>
        </w:rPr>
        <w:t xml:space="preserve"> </w:t>
      </w:r>
      <w:r w:rsidRPr="00BC0266">
        <w:rPr>
          <w:sz w:val="24"/>
        </w:rPr>
        <w:t xml:space="preserve">instance de </w:t>
      </w:r>
      <w:r w:rsidR="00C149F3">
        <w:rPr>
          <w:sz w:val="24"/>
        </w:rPr>
        <w:t>Nouméa</w:t>
      </w:r>
      <w:r w:rsidRPr="00BC0266">
        <w:rPr>
          <w:sz w:val="24"/>
        </w:rPr>
        <w:t xml:space="preserve">. </w:t>
      </w:r>
    </w:p>
    <w:p w14:paraId="604B83CA" w14:textId="77777777" w:rsidR="00BC0266" w:rsidRPr="00B63068" w:rsidRDefault="00BC0266" w:rsidP="00B63068">
      <w:pPr>
        <w:pStyle w:val="Titre2"/>
        <w:keepNext w:val="0"/>
        <w:keepLines w:val="0"/>
        <w:spacing w:before="0" w:after="300" w:line="240" w:lineRule="auto"/>
        <w:ind w:left="720" w:hanging="360"/>
        <w:contextualSpacing/>
        <w:rPr>
          <w:bCs w:val="0"/>
          <w:color w:val="17365D" w:themeColor="text2" w:themeShade="BF"/>
          <w:spacing w:val="5"/>
          <w:kern w:val="28"/>
          <w:sz w:val="28"/>
          <w:szCs w:val="52"/>
        </w:rPr>
      </w:pPr>
      <w:r w:rsidRPr="00B63068">
        <w:rPr>
          <w:bCs w:val="0"/>
          <w:color w:val="17365D" w:themeColor="text2" w:themeShade="BF"/>
          <w:spacing w:val="5"/>
          <w:kern w:val="28"/>
          <w:sz w:val="28"/>
          <w:szCs w:val="52"/>
        </w:rPr>
        <w:t xml:space="preserve"> </w:t>
      </w:r>
    </w:p>
    <w:p w14:paraId="4C0BCB47" w14:textId="77777777" w:rsidR="00C149F3" w:rsidRPr="00BC0266" w:rsidRDefault="00C149F3" w:rsidP="00C149F3">
      <w:pPr>
        <w:pStyle w:val="Titre2"/>
        <w:keepNext w:val="0"/>
        <w:keepLines w:val="0"/>
        <w:spacing w:before="0" w:after="300" w:line="240" w:lineRule="auto"/>
        <w:ind w:left="720" w:hanging="360"/>
        <w:contextualSpacing/>
        <w:rPr>
          <w:sz w:val="24"/>
        </w:rPr>
      </w:pPr>
      <w:bookmarkStart w:id="41" w:name="_Toc145312197"/>
      <w:r>
        <w:rPr>
          <w:bCs w:val="0"/>
          <w:color w:val="17365D" w:themeColor="text2" w:themeShade="BF"/>
          <w:spacing w:val="5"/>
          <w:kern w:val="28"/>
          <w:sz w:val="28"/>
          <w:szCs w:val="52"/>
        </w:rPr>
        <w:t xml:space="preserve">Article </w:t>
      </w:r>
      <w:r w:rsidR="000A1373">
        <w:rPr>
          <w:bCs w:val="0"/>
          <w:color w:val="17365D" w:themeColor="text2" w:themeShade="BF"/>
          <w:spacing w:val="5"/>
          <w:kern w:val="28"/>
          <w:sz w:val="28"/>
          <w:szCs w:val="52"/>
        </w:rPr>
        <w:t>1</w:t>
      </w:r>
      <w:r w:rsidR="006408CE">
        <w:rPr>
          <w:bCs w:val="0"/>
          <w:color w:val="17365D" w:themeColor="text2" w:themeShade="BF"/>
          <w:spacing w:val="5"/>
          <w:kern w:val="28"/>
          <w:sz w:val="28"/>
          <w:szCs w:val="52"/>
        </w:rPr>
        <w:t>7</w:t>
      </w:r>
      <w:r>
        <w:rPr>
          <w:bCs w:val="0"/>
          <w:color w:val="17365D" w:themeColor="text2" w:themeShade="BF"/>
          <w:spacing w:val="5"/>
          <w:kern w:val="28"/>
          <w:sz w:val="28"/>
          <w:szCs w:val="52"/>
        </w:rPr>
        <w:t xml:space="preserve"> – Décision du FCH</w:t>
      </w:r>
      <w:bookmarkEnd w:id="41"/>
    </w:p>
    <w:p w14:paraId="7B823609" w14:textId="77777777" w:rsidR="00BC0266" w:rsidRPr="00BC0266" w:rsidRDefault="00BC0266" w:rsidP="00BC0266">
      <w:pPr>
        <w:jc w:val="both"/>
        <w:rPr>
          <w:sz w:val="24"/>
        </w:rPr>
      </w:pPr>
      <w:r w:rsidRPr="00BC0266">
        <w:rPr>
          <w:sz w:val="24"/>
        </w:rPr>
        <w:t xml:space="preserve">La présente offre est acceptée. </w:t>
      </w:r>
    </w:p>
    <w:p w14:paraId="4D5FEFE7" w14:textId="77777777" w:rsidR="00BC0266" w:rsidRPr="00BC0266" w:rsidRDefault="00BC0266" w:rsidP="00BC0266">
      <w:pPr>
        <w:jc w:val="both"/>
        <w:rPr>
          <w:sz w:val="24"/>
        </w:rPr>
      </w:pPr>
      <w:r w:rsidRPr="00BC0266">
        <w:rPr>
          <w:sz w:val="24"/>
        </w:rPr>
        <w:t xml:space="preserve">Elle est complétée par les annexes suivantes : </w:t>
      </w:r>
    </w:p>
    <w:p w14:paraId="74835BD6" w14:textId="77777777" w:rsidR="000A1373" w:rsidRPr="000A1373" w:rsidRDefault="000A1373" w:rsidP="000A1373">
      <w:pPr>
        <w:pStyle w:val="Paragraphedeliste"/>
        <w:numPr>
          <w:ilvl w:val="0"/>
          <w:numId w:val="13"/>
        </w:numPr>
        <w:jc w:val="both"/>
        <w:rPr>
          <w:sz w:val="24"/>
        </w:rPr>
      </w:pPr>
      <w:r w:rsidRPr="000A1373">
        <w:rPr>
          <w:sz w:val="24"/>
        </w:rPr>
        <w:t xml:space="preserve">Annexe 1 : Présentation de l’organisation proposée pour réaliser les prestations relatives aux marchés subséquents ; </w:t>
      </w:r>
    </w:p>
    <w:p w14:paraId="6E6728A9" w14:textId="368B482F" w:rsidR="000A1373" w:rsidRPr="000A1373" w:rsidRDefault="000A1373" w:rsidP="005B0C86">
      <w:pPr>
        <w:pStyle w:val="Paragraphedeliste"/>
        <w:numPr>
          <w:ilvl w:val="0"/>
          <w:numId w:val="13"/>
        </w:numPr>
        <w:jc w:val="both"/>
        <w:rPr>
          <w:sz w:val="24"/>
        </w:rPr>
      </w:pPr>
      <w:r w:rsidRPr="000A1373">
        <w:rPr>
          <w:sz w:val="24"/>
        </w:rPr>
        <w:t xml:space="preserve">Annexe 2 : </w:t>
      </w:r>
      <w:r w:rsidR="005B0C86" w:rsidRPr="005B0C86">
        <w:rPr>
          <w:sz w:val="24"/>
        </w:rPr>
        <w:t>Taux de rétrocession minimum et taux de rémunération maximum</w:t>
      </w:r>
      <w:r w:rsidR="00901DDD">
        <w:rPr>
          <w:sz w:val="24"/>
        </w:rPr>
        <w:t>, base éligible plancher</w:t>
      </w:r>
      <w:r w:rsidR="005B0C86">
        <w:rPr>
          <w:sz w:val="24"/>
        </w:rPr>
        <w:t xml:space="preserve"> </w:t>
      </w:r>
      <w:r w:rsidRPr="000A1373">
        <w:rPr>
          <w:sz w:val="24"/>
        </w:rPr>
        <w:t>;</w:t>
      </w:r>
    </w:p>
    <w:p w14:paraId="068FC86B" w14:textId="77777777" w:rsidR="000A1373" w:rsidRPr="000A1373" w:rsidRDefault="000A1373" w:rsidP="000A1373">
      <w:pPr>
        <w:pStyle w:val="Paragraphedeliste"/>
        <w:numPr>
          <w:ilvl w:val="0"/>
          <w:numId w:val="13"/>
        </w:numPr>
        <w:jc w:val="both"/>
        <w:rPr>
          <w:sz w:val="24"/>
        </w:rPr>
      </w:pPr>
      <w:r w:rsidRPr="000A1373">
        <w:rPr>
          <w:sz w:val="24"/>
        </w:rPr>
        <w:t xml:space="preserve">Annexe 3 : Base éligible plafond pour les opérations visées à l’article 199 </w:t>
      </w:r>
      <w:proofErr w:type="spellStart"/>
      <w:r w:rsidRPr="000A1373">
        <w:rPr>
          <w:sz w:val="24"/>
        </w:rPr>
        <w:t>undecies</w:t>
      </w:r>
      <w:proofErr w:type="spellEnd"/>
      <w:r w:rsidRPr="000A1373">
        <w:rPr>
          <w:sz w:val="24"/>
        </w:rPr>
        <w:t xml:space="preserve"> C ;</w:t>
      </w:r>
    </w:p>
    <w:p w14:paraId="55086F6F" w14:textId="77777777" w:rsidR="000A1373" w:rsidRPr="000A1373" w:rsidRDefault="000A1373" w:rsidP="000A1373">
      <w:pPr>
        <w:pStyle w:val="Paragraphedeliste"/>
        <w:numPr>
          <w:ilvl w:val="0"/>
          <w:numId w:val="13"/>
        </w:numPr>
        <w:jc w:val="both"/>
        <w:rPr>
          <w:sz w:val="24"/>
        </w:rPr>
      </w:pPr>
      <w:r w:rsidRPr="000A1373">
        <w:rPr>
          <w:sz w:val="24"/>
        </w:rPr>
        <w:t xml:space="preserve">Annexe 4 : Délai </w:t>
      </w:r>
      <w:r w:rsidR="00A54F47">
        <w:rPr>
          <w:sz w:val="24"/>
        </w:rPr>
        <w:t>maximal</w:t>
      </w:r>
      <w:r w:rsidRPr="000A1373">
        <w:rPr>
          <w:sz w:val="24"/>
        </w:rPr>
        <w:t xml:space="preserve"> de versement de la rétrocession et pénalités de retard ;</w:t>
      </w:r>
    </w:p>
    <w:p w14:paraId="3FA7E8DD" w14:textId="77777777" w:rsidR="000A1373" w:rsidRPr="000A1373" w:rsidRDefault="000A1373" w:rsidP="000A1373">
      <w:pPr>
        <w:pStyle w:val="Paragraphedeliste"/>
        <w:numPr>
          <w:ilvl w:val="0"/>
          <w:numId w:val="13"/>
        </w:numPr>
        <w:jc w:val="both"/>
        <w:rPr>
          <w:sz w:val="24"/>
        </w:rPr>
      </w:pPr>
      <w:r w:rsidRPr="000A1373">
        <w:rPr>
          <w:sz w:val="24"/>
        </w:rPr>
        <w:t>Annexe 5 : Mémoire technique du candidat ;</w:t>
      </w:r>
    </w:p>
    <w:p w14:paraId="279D4393" w14:textId="77777777" w:rsidR="000A1373" w:rsidRDefault="000A1373" w:rsidP="000A1373">
      <w:pPr>
        <w:pStyle w:val="Paragraphedeliste"/>
        <w:numPr>
          <w:ilvl w:val="0"/>
          <w:numId w:val="13"/>
        </w:numPr>
        <w:jc w:val="both"/>
        <w:rPr>
          <w:sz w:val="24"/>
        </w:rPr>
      </w:pPr>
      <w:r w:rsidRPr="000A1373">
        <w:rPr>
          <w:sz w:val="24"/>
        </w:rPr>
        <w:t xml:space="preserve">Annexe 6 : </w:t>
      </w:r>
      <w:r w:rsidR="00F305D4">
        <w:rPr>
          <w:sz w:val="24"/>
        </w:rPr>
        <w:t>D</w:t>
      </w:r>
      <w:r w:rsidRPr="000A1373">
        <w:rPr>
          <w:sz w:val="24"/>
        </w:rPr>
        <w:t>ébouclage de l’opération</w:t>
      </w:r>
      <w:r w:rsidR="00F305D4">
        <w:rPr>
          <w:sz w:val="24"/>
        </w:rPr>
        <w:t xml:space="preserve"> </w:t>
      </w:r>
      <w:r w:rsidR="00F305D4" w:rsidRPr="000A1373">
        <w:rPr>
          <w:sz w:val="24"/>
        </w:rPr>
        <w:t>et pénalités de retard</w:t>
      </w:r>
      <w:r w:rsidRPr="000A1373">
        <w:rPr>
          <w:sz w:val="24"/>
        </w:rPr>
        <w:t xml:space="preserve">. </w:t>
      </w:r>
    </w:p>
    <w:p w14:paraId="57361759" w14:textId="77777777" w:rsidR="00FC5620" w:rsidRDefault="00FC5620" w:rsidP="00FC5620">
      <w:pPr>
        <w:ind w:left="1416"/>
        <w:jc w:val="both"/>
        <w:rPr>
          <w:b/>
          <w:sz w:val="24"/>
        </w:rPr>
      </w:pPr>
    </w:p>
    <w:p w14:paraId="512A8CF8" w14:textId="77777777" w:rsidR="00F52469" w:rsidRPr="00B63068" w:rsidRDefault="00F52469" w:rsidP="00FC5620">
      <w:pPr>
        <w:ind w:left="1416"/>
        <w:jc w:val="both"/>
        <w:rPr>
          <w:b/>
          <w:sz w:val="24"/>
        </w:rPr>
      </w:pPr>
    </w:p>
    <w:tbl>
      <w:tblPr>
        <w:tblStyle w:val="Grilledutableau"/>
        <w:tblW w:w="0" w:type="auto"/>
        <w:tblLook w:val="04A0" w:firstRow="1" w:lastRow="0" w:firstColumn="1" w:lastColumn="0" w:noHBand="0" w:noVBand="1"/>
      </w:tblPr>
      <w:tblGrid>
        <w:gridCol w:w="4535"/>
        <w:gridCol w:w="4535"/>
      </w:tblGrid>
      <w:tr w:rsidR="00FC5620" w:rsidRPr="00B63068" w14:paraId="3CA2D27A" w14:textId="77777777" w:rsidTr="00FC5620">
        <w:tc>
          <w:tcPr>
            <w:tcW w:w="4606" w:type="dxa"/>
            <w:tcBorders>
              <w:top w:val="nil"/>
              <w:left w:val="nil"/>
              <w:right w:val="nil"/>
            </w:tcBorders>
          </w:tcPr>
          <w:p w14:paraId="686EE58D" w14:textId="77777777" w:rsidR="00FC5620" w:rsidRPr="00B63068" w:rsidRDefault="00FC5620" w:rsidP="00FC5620">
            <w:pPr>
              <w:jc w:val="center"/>
              <w:rPr>
                <w:b/>
                <w:sz w:val="24"/>
              </w:rPr>
            </w:pPr>
            <w:r w:rsidRPr="00B63068">
              <w:rPr>
                <w:b/>
                <w:sz w:val="24"/>
              </w:rPr>
              <w:t>Pour le candidat,</w:t>
            </w:r>
          </w:p>
          <w:p w14:paraId="01693BCD" w14:textId="77777777" w:rsidR="00FC5620" w:rsidRPr="00B63068" w:rsidRDefault="00FC5620" w:rsidP="00FC5620">
            <w:pPr>
              <w:jc w:val="center"/>
              <w:rPr>
                <w:b/>
                <w:sz w:val="24"/>
              </w:rPr>
            </w:pPr>
          </w:p>
        </w:tc>
        <w:tc>
          <w:tcPr>
            <w:tcW w:w="4606" w:type="dxa"/>
            <w:tcBorders>
              <w:top w:val="nil"/>
              <w:left w:val="nil"/>
              <w:right w:val="nil"/>
            </w:tcBorders>
          </w:tcPr>
          <w:p w14:paraId="3D27D854" w14:textId="77777777" w:rsidR="00FC5620" w:rsidRPr="00B63068" w:rsidRDefault="00FC5620" w:rsidP="00FC5620">
            <w:pPr>
              <w:jc w:val="center"/>
              <w:rPr>
                <w:b/>
                <w:sz w:val="24"/>
              </w:rPr>
            </w:pPr>
            <w:r w:rsidRPr="00B63068">
              <w:rPr>
                <w:b/>
                <w:sz w:val="24"/>
              </w:rPr>
              <w:t>Pour le FCH,</w:t>
            </w:r>
          </w:p>
        </w:tc>
      </w:tr>
      <w:tr w:rsidR="00FC5620" w:rsidRPr="00B63068" w14:paraId="62E9303C" w14:textId="77777777" w:rsidTr="00FC5620">
        <w:tc>
          <w:tcPr>
            <w:tcW w:w="4606" w:type="dxa"/>
          </w:tcPr>
          <w:p w14:paraId="4D716DF5" w14:textId="77777777" w:rsidR="00FC5620" w:rsidRPr="00F52469" w:rsidRDefault="00FC5620" w:rsidP="00FC5620">
            <w:pPr>
              <w:jc w:val="both"/>
              <w:rPr>
                <w:sz w:val="24"/>
              </w:rPr>
            </w:pPr>
          </w:p>
          <w:p w14:paraId="13942F77" w14:textId="2EB4A815" w:rsidR="00FC5620" w:rsidRPr="00F52469" w:rsidRDefault="00FC5620" w:rsidP="00FC5620">
            <w:pPr>
              <w:jc w:val="both"/>
              <w:rPr>
                <w:sz w:val="24"/>
              </w:rPr>
            </w:pPr>
            <w:r w:rsidRPr="00F52469">
              <w:rPr>
                <w:sz w:val="24"/>
              </w:rPr>
              <w:t xml:space="preserve">Fait à                   </w:t>
            </w:r>
            <w:r w:rsidR="004B165C">
              <w:rPr>
                <w:sz w:val="24"/>
              </w:rPr>
              <w:t xml:space="preserve">     </w:t>
            </w:r>
            <w:proofErr w:type="gramStart"/>
            <w:r w:rsidR="004B165C">
              <w:rPr>
                <w:sz w:val="24"/>
              </w:rPr>
              <w:t xml:space="preserve">  ,</w:t>
            </w:r>
            <w:proofErr w:type="gramEnd"/>
            <w:r w:rsidR="004B165C">
              <w:rPr>
                <w:sz w:val="24"/>
              </w:rPr>
              <w:t xml:space="preserve"> le       </w:t>
            </w:r>
          </w:p>
          <w:p w14:paraId="36EDAB71" w14:textId="77777777" w:rsidR="00FC5620" w:rsidRPr="00F52469" w:rsidRDefault="00FC5620" w:rsidP="00BC0266">
            <w:pPr>
              <w:jc w:val="both"/>
              <w:rPr>
                <w:sz w:val="24"/>
              </w:rPr>
            </w:pPr>
          </w:p>
          <w:p w14:paraId="56D6E544" w14:textId="77777777" w:rsidR="00FC5620" w:rsidRPr="00F52469" w:rsidRDefault="00FC5620" w:rsidP="00FC5620">
            <w:pPr>
              <w:spacing w:line="360" w:lineRule="auto"/>
              <w:jc w:val="both"/>
              <w:rPr>
                <w:sz w:val="24"/>
              </w:rPr>
            </w:pPr>
            <w:r w:rsidRPr="00F52469">
              <w:rPr>
                <w:sz w:val="24"/>
              </w:rPr>
              <w:t xml:space="preserve">Nom du représentant : </w:t>
            </w:r>
          </w:p>
          <w:p w14:paraId="0D264C08" w14:textId="77777777" w:rsidR="00FC5620" w:rsidRPr="00F52469" w:rsidRDefault="00FC5620" w:rsidP="00FC5620">
            <w:pPr>
              <w:spacing w:line="360" w:lineRule="auto"/>
              <w:jc w:val="both"/>
              <w:rPr>
                <w:sz w:val="24"/>
              </w:rPr>
            </w:pPr>
            <w:r w:rsidRPr="00F52469">
              <w:rPr>
                <w:sz w:val="24"/>
              </w:rPr>
              <w:t xml:space="preserve">Qualité du représentant : </w:t>
            </w:r>
          </w:p>
          <w:p w14:paraId="113F78B8" w14:textId="77777777" w:rsidR="00FC5620" w:rsidRPr="00F52469" w:rsidRDefault="00FC5620" w:rsidP="00BC0266">
            <w:pPr>
              <w:jc w:val="both"/>
              <w:rPr>
                <w:sz w:val="24"/>
              </w:rPr>
            </w:pPr>
          </w:p>
          <w:p w14:paraId="4B06EBF5" w14:textId="77777777" w:rsidR="00FC5620" w:rsidRPr="00F52469" w:rsidRDefault="00FC5620" w:rsidP="00BC0266">
            <w:pPr>
              <w:jc w:val="both"/>
              <w:rPr>
                <w:sz w:val="24"/>
              </w:rPr>
            </w:pPr>
            <w:r w:rsidRPr="00F52469">
              <w:rPr>
                <w:sz w:val="24"/>
              </w:rPr>
              <w:t>Signature</w:t>
            </w:r>
          </w:p>
          <w:p w14:paraId="6396E9EC" w14:textId="77777777" w:rsidR="00FC5620" w:rsidRPr="00F52469" w:rsidRDefault="00FC5620" w:rsidP="00BC0266">
            <w:pPr>
              <w:jc w:val="both"/>
              <w:rPr>
                <w:sz w:val="24"/>
              </w:rPr>
            </w:pPr>
          </w:p>
          <w:p w14:paraId="2F98ED5C" w14:textId="77777777" w:rsidR="00FC5620" w:rsidRPr="00F52469" w:rsidRDefault="00FC5620" w:rsidP="00BC0266">
            <w:pPr>
              <w:jc w:val="both"/>
              <w:rPr>
                <w:sz w:val="24"/>
              </w:rPr>
            </w:pPr>
          </w:p>
          <w:p w14:paraId="18D6A81C" w14:textId="77777777" w:rsidR="00FC5620" w:rsidRPr="00F52469" w:rsidRDefault="00FC5620" w:rsidP="00BC0266">
            <w:pPr>
              <w:jc w:val="both"/>
              <w:rPr>
                <w:sz w:val="24"/>
              </w:rPr>
            </w:pPr>
          </w:p>
          <w:p w14:paraId="7DFBEACC" w14:textId="77777777" w:rsidR="00FC5620" w:rsidRPr="00F52469" w:rsidRDefault="00FC5620" w:rsidP="00BC0266">
            <w:pPr>
              <w:jc w:val="both"/>
              <w:rPr>
                <w:sz w:val="24"/>
              </w:rPr>
            </w:pPr>
          </w:p>
        </w:tc>
        <w:tc>
          <w:tcPr>
            <w:tcW w:w="4606" w:type="dxa"/>
          </w:tcPr>
          <w:p w14:paraId="446B8FE4" w14:textId="77777777" w:rsidR="00FC5620" w:rsidRPr="00F52469" w:rsidRDefault="00FC5620" w:rsidP="00FC5620">
            <w:pPr>
              <w:jc w:val="both"/>
              <w:rPr>
                <w:sz w:val="24"/>
              </w:rPr>
            </w:pPr>
          </w:p>
          <w:p w14:paraId="6D7BFA5D" w14:textId="71CAAB07" w:rsidR="00FC5620" w:rsidRPr="00F52469" w:rsidRDefault="00FC5620" w:rsidP="00FC5620">
            <w:pPr>
              <w:jc w:val="both"/>
              <w:rPr>
                <w:sz w:val="24"/>
              </w:rPr>
            </w:pPr>
            <w:r w:rsidRPr="00F52469">
              <w:rPr>
                <w:sz w:val="24"/>
              </w:rPr>
              <w:t xml:space="preserve">Fait à Nouméa, le       </w:t>
            </w:r>
          </w:p>
          <w:p w14:paraId="4840A823" w14:textId="77777777" w:rsidR="00FC5620" w:rsidRPr="00F52469" w:rsidRDefault="00FC5620" w:rsidP="00BC0266">
            <w:pPr>
              <w:jc w:val="both"/>
              <w:rPr>
                <w:sz w:val="24"/>
              </w:rPr>
            </w:pPr>
          </w:p>
          <w:p w14:paraId="737F2559" w14:textId="77777777" w:rsidR="00FC5620" w:rsidRPr="00F52469" w:rsidRDefault="00FC5620" w:rsidP="00FC5620">
            <w:pPr>
              <w:spacing w:line="360" w:lineRule="auto"/>
              <w:jc w:val="both"/>
              <w:rPr>
                <w:sz w:val="24"/>
              </w:rPr>
            </w:pPr>
            <w:r w:rsidRPr="00F52469">
              <w:rPr>
                <w:sz w:val="24"/>
              </w:rPr>
              <w:t xml:space="preserve">Nom du représentant : </w:t>
            </w:r>
          </w:p>
          <w:p w14:paraId="6FC8B0FA" w14:textId="77777777" w:rsidR="00FC5620" w:rsidRPr="00F52469" w:rsidRDefault="00FC5620" w:rsidP="00FC5620">
            <w:pPr>
              <w:spacing w:line="360" w:lineRule="auto"/>
              <w:jc w:val="both"/>
              <w:rPr>
                <w:sz w:val="24"/>
              </w:rPr>
            </w:pPr>
            <w:r w:rsidRPr="00F52469">
              <w:rPr>
                <w:sz w:val="24"/>
              </w:rPr>
              <w:t xml:space="preserve">Qualité du représentant : </w:t>
            </w:r>
          </w:p>
          <w:p w14:paraId="013A6B86" w14:textId="77777777" w:rsidR="00FC5620" w:rsidRPr="00F52469" w:rsidRDefault="00FC5620" w:rsidP="00FC5620">
            <w:pPr>
              <w:jc w:val="both"/>
              <w:rPr>
                <w:sz w:val="24"/>
              </w:rPr>
            </w:pPr>
          </w:p>
          <w:p w14:paraId="393B9B2B" w14:textId="77777777" w:rsidR="00FC5620" w:rsidRPr="00F52469" w:rsidRDefault="00FC5620" w:rsidP="00FC5620">
            <w:pPr>
              <w:jc w:val="both"/>
              <w:rPr>
                <w:sz w:val="24"/>
              </w:rPr>
            </w:pPr>
            <w:r w:rsidRPr="00F52469">
              <w:rPr>
                <w:sz w:val="24"/>
              </w:rPr>
              <w:t>Signature</w:t>
            </w:r>
          </w:p>
          <w:p w14:paraId="3EBC8FE6" w14:textId="77777777" w:rsidR="00FC5620" w:rsidRPr="00F52469" w:rsidRDefault="00FC5620" w:rsidP="00BC0266">
            <w:pPr>
              <w:jc w:val="both"/>
              <w:rPr>
                <w:sz w:val="24"/>
              </w:rPr>
            </w:pPr>
          </w:p>
        </w:tc>
      </w:tr>
    </w:tbl>
    <w:p w14:paraId="26EC6B27" w14:textId="77777777" w:rsidR="00B63068" w:rsidRDefault="00B63068">
      <w:pPr>
        <w:rPr>
          <w:rFonts w:asciiTheme="majorHAnsi" w:eastAsiaTheme="majorEastAsia" w:hAnsiTheme="majorHAnsi" w:cstheme="majorBidi"/>
          <w:b/>
          <w:color w:val="17365D" w:themeColor="text2" w:themeShade="BF"/>
          <w:spacing w:val="5"/>
          <w:kern w:val="28"/>
          <w:sz w:val="40"/>
          <w:szCs w:val="52"/>
        </w:rPr>
      </w:pPr>
      <w:r>
        <w:br w:type="page"/>
      </w:r>
    </w:p>
    <w:p w14:paraId="56D78C96" w14:textId="77777777" w:rsidR="00A729F3" w:rsidRPr="00FE66C5" w:rsidRDefault="00A729F3" w:rsidP="00671995">
      <w:pPr>
        <w:pStyle w:val="Titre1"/>
      </w:pPr>
      <w:bookmarkStart w:id="42" w:name="_Toc145312198"/>
      <w:r w:rsidRPr="00FE66C5">
        <w:lastRenderedPageBreak/>
        <w:t xml:space="preserve">ANNEXE 1 : </w:t>
      </w:r>
      <w:r w:rsidR="00073DE0">
        <w:t>Présentation de l’organisation proposée pour réaliser les prestations relatives aux marchés subséquents</w:t>
      </w:r>
      <w:bookmarkEnd w:id="42"/>
    </w:p>
    <w:p w14:paraId="26393308" w14:textId="77777777" w:rsidR="00073DE0" w:rsidRDefault="00073DE0" w:rsidP="00073DE0">
      <w:pPr>
        <w:pStyle w:val="Paragraphedeliste"/>
        <w:ind w:left="1068"/>
        <w:jc w:val="both"/>
        <w:rPr>
          <w:sz w:val="24"/>
        </w:rPr>
      </w:pPr>
    </w:p>
    <w:p w14:paraId="7B6779E4" w14:textId="77777777" w:rsidR="00A729F3" w:rsidRP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073DE0">
        <w:rPr>
          <w:rFonts w:asciiTheme="majorHAnsi" w:eastAsiaTheme="majorEastAsia" w:hAnsiTheme="majorHAnsi" w:cstheme="majorBidi"/>
          <w:b/>
          <w:color w:val="17365D" w:themeColor="text2" w:themeShade="BF"/>
          <w:spacing w:val="5"/>
          <w:kern w:val="28"/>
          <w:sz w:val="32"/>
          <w:szCs w:val="52"/>
        </w:rPr>
        <w:t>[Présentation du candidat à intégrer]</w:t>
      </w:r>
    </w:p>
    <w:p w14:paraId="4BBC24AD" w14:textId="77777777" w:rsidR="00073DE0" w:rsidRDefault="00073DE0">
      <w:pPr>
        <w:rPr>
          <w:rFonts w:asciiTheme="majorHAnsi" w:eastAsiaTheme="majorEastAsia" w:hAnsiTheme="majorHAnsi" w:cstheme="majorBidi"/>
          <w:b/>
          <w:color w:val="17365D" w:themeColor="text2" w:themeShade="BF"/>
          <w:spacing w:val="5"/>
          <w:kern w:val="28"/>
          <w:sz w:val="40"/>
          <w:szCs w:val="52"/>
        </w:rPr>
      </w:pPr>
      <w:r>
        <w:rPr>
          <w:b/>
          <w:sz w:val="40"/>
        </w:rPr>
        <w:br w:type="page"/>
      </w:r>
    </w:p>
    <w:p w14:paraId="2E8D496C" w14:textId="77777777" w:rsidR="00901DDD" w:rsidRPr="00FE66C5" w:rsidRDefault="00901DDD" w:rsidP="00901DDD">
      <w:pPr>
        <w:pStyle w:val="Titre1"/>
      </w:pPr>
      <w:bookmarkStart w:id="43" w:name="_Toc400552446"/>
      <w:bookmarkStart w:id="44" w:name="_Toc145312199"/>
      <w:bookmarkStart w:id="45" w:name="_Toc394406859"/>
      <w:r w:rsidRPr="00FE66C5">
        <w:lastRenderedPageBreak/>
        <w:t xml:space="preserve">ANNEXE </w:t>
      </w:r>
      <w:r>
        <w:t>2</w:t>
      </w:r>
      <w:r w:rsidRPr="00FE66C5">
        <w:t xml:space="preserve"> : </w:t>
      </w:r>
      <w:r>
        <w:t>Taux de rétrocession minimum et taux de rémunération maximum</w:t>
      </w:r>
      <w:bookmarkEnd w:id="43"/>
      <w:r>
        <w:t>, base éligible plancher</w:t>
      </w:r>
      <w:bookmarkEnd w:id="44"/>
    </w:p>
    <w:p w14:paraId="7D466D8D" w14:textId="77777777" w:rsidR="00901DDD" w:rsidRDefault="00901DDD" w:rsidP="00901DDD">
      <w:pPr>
        <w:spacing w:after="0"/>
        <w:jc w:val="both"/>
        <w:rPr>
          <w:rFonts w:ascii="tables" w:hAnsi="tables"/>
          <w:sz w:val="24"/>
        </w:rPr>
      </w:pPr>
    </w:p>
    <w:p w14:paraId="11E5B8B4" w14:textId="4AD30ABA" w:rsidR="00901DDD" w:rsidRDefault="00901DDD" w:rsidP="00901DDD">
      <w:pPr>
        <w:spacing w:after="0"/>
        <w:jc w:val="both"/>
        <w:rPr>
          <w:sz w:val="24"/>
        </w:rPr>
      </w:pPr>
      <w:r w:rsidRPr="00F46592">
        <w:rPr>
          <w:sz w:val="24"/>
        </w:rPr>
        <w:t xml:space="preserve">Les taux de rétrocession minimum s’entendent comme étant la quote-part </w:t>
      </w:r>
      <w:r>
        <w:rPr>
          <w:sz w:val="24"/>
        </w:rPr>
        <w:t>de la base éligible qui constitue</w:t>
      </w:r>
      <w:r w:rsidRPr="00F46592">
        <w:rPr>
          <w:sz w:val="24"/>
        </w:rPr>
        <w:t xml:space="preserve"> l’avantage fiscal</w:t>
      </w:r>
      <w:r>
        <w:rPr>
          <w:sz w:val="24"/>
        </w:rPr>
        <w:t xml:space="preserve"> rétrocédé</w:t>
      </w:r>
      <w:r w:rsidRPr="00F46592">
        <w:rPr>
          <w:sz w:val="24"/>
        </w:rPr>
        <w:t xml:space="preserve"> au FCH dans le cadre tant des opérations visées à l’article 199 </w:t>
      </w:r>
      <w:proofErr w:type="spellStart"/>
      <w:r w:rsidRPr="00F46592">
        <w:rPr>
          <w:sz w:val="24"/>
        </w:rPr>
        <w:t>undecies</w:t>
      </w:r>
      <w:proofErr w:type="spellEnd"/>
      <w:r w:rsidRPr="00F46592">
        <w:rPr>
          <w:sz w:val="24"/>
        </w:rPr>
        <w:t xml:space="preserve"> C que de celles relevant de l’article </w:t>
      </w:r>
      <w:r w:rsidR="00545718">
        <w:rPr>
          <w:sz w:val="24"/>
        </w:rPr>
        <w:t>244 quarter Y</w:t>
      </w:r>
      <w:r w:rsidRPr="00F46592">
        <w:rPr>
          <w:sz w:val="24"/>
        </w:rPr>
        <w:t xml:space="preserve"> du Code général des impôts. </w:t>
      </w:r>
    </w:p>
    <w:p w14:paraId="34EB9C3F" w14:textId="77777777" w:rsidR="00901DDD" w:rsidRDefault="00901DDD" w:rsidP="00901DDD">
      <w:pPr>
        <w:spacing w:after="0"/>
        <w:jc w:val="both"/>
        <w:rPr>
          <w:sz w:val="24"/>
        </w:rPr>
      </w:pPr>
    </w:p>
    <w:p w14:paraId="4DD5E1F8" w14:textId="77777777" w:rsidR="00901DDD" w:rsidRPr="009F4C19" w:rsidRDefault="00901DDD" w:rsidP="00901DDD">
      <w:pPr>
        <w:spacing w:after="0"/>
        <w:jc w:val="both"/>
        <w:rPr>
          <w:sz w:val="24"/>
        </w:rPr>
      </w:pPr>
      <w:r w:rsidRPr="009F4C19">
        <w:rPr>
          <w:sz w:val="24"/>
        </w:rPr>
        <w:t xml:space="preserve">Ces taux serviront </w:t>
      </w:r>
      <w:r w:rsidRPr="00914F15">
        <w:rPr>
          <w:sz w:val="24"/>
        </w:rPr>
        <w:t>taux plancher de rétrocession</w:t>
      </w:r>
      <w:r w:rsidRPr="009F4C19">
        <w:rPr>
          <w:sz w:val="24"/>
        </w:rPr>
        <w:t xml:space="preserve"> dans la passation des marchés subséquents pendant toute la durée de l’accord</w:t>
      </w:r>
      <w:r>
        <w:rPr>
          <w:sz w:val="24"/>
        </w:rPr>
        <w:t>-</w:t>
      </w:r>
      <w:r w:rsidRPr="009F4C19">
        <w:rPr>
          <w:sz w:val="24"/>
        </w:rPr>
        <w:t>cadre et dans les conditions de leur remise en concurrence établies par ce dernier.</w:t>
      </w:r>
    </w:p>
    <w:p w14:paraId="214AD311" w14:textId="77777777" w:rsidR="00901DDD" w:rsidRPr="00F46592" w:rsidRDefault="00901DDD" w:rsidP="00901DDD">
      <w:pPr>
        <w:spacing w:after="0"/>
        <w:jc w:val="both"/>
        <w:rPr>
          <w:sz w:val="24"/>
        </w:rPr>
      </w:pPr>
    </w:p>
    <w:tbl>
      <w:tblPr>
        <w:tblStyle w:val="Grilledutableau"/>
        <w:tblW w:w="0" w:type="auto"/>
        <w:jc w:val="center"/>
        <w:tblLook w:val="04A0" w:firstRow="1" w:lastRow="0" w:firstColumn="1" w:lastColumn="0" w:noHBand="0" w:noVBand="1"/>
      </w:tblPr>
      <w:tblGrid>
        <w:gridCol w:w="5778"/>
        <w:gridCol w:w="2127"/>
      </w:tblGrid>
      <w:tr w:rsidR="00901DDD" w14:paraId="2367921E" w14:textId="77777777" w:rsidTr="00901DDD">
        <w:trPr>
          <w:trHeight w:val="1269"/>
          <w:jc w:val="center"/>
        </w:trPr>
        <w:tc>
          <w:tcPr>
            <w:tcW w:w="5778" w:type="dxa"/>
            <w:vAlign w:val="center"/>
          </w:tcPr>
          <w:p w14:paraId="4E900333" w14:textId="77777777" w:rsidR="00901DDD" w:rsidRDefault="00901DDD" w:rsidP="00901DDD">
            <w:pPr>
              <w:rPr>
                <w:b/>
                <w:sz w:val="28"/>
              </w:rPr>
            </w:pPr>
            <w:r w:rsidRPr="00F46592">
              <w:rPr>
                <w:b/>
                <w:sz w:val="28"/>
              </w:rPr>
              <w:t xml:space="preserve">Taux de rétrocession minimum à l’IR : </w:t>
            </w:r>
          </w:p>
          <w:p w14:paraId="05D79512" w14:textId="77777777" w:rsidR="00901DDD" w:rsidRPr="00F46592" w:rsidRDefault="00901DDD" w:rsidP="00901DDD">
            <w:pPr>
              <w:rPr>
                <w:b/>
                <w:sz w:val="28"/>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127" w:type="dxa"/>
            <w:vAlign w:val="center"/>
          </w:tcPr>
          <w:p w14:paraId="3A7E8957" w14:textId="77777777" w:rsidR="00901DDD" w:rsidRPr="00F46592" w:rsidRDefault="00901DDD" w:rsidP="00901DDD">
            <w:pPr>
              <w:jc w:val="right"/>
              <w:rPr>
                <w:b/>
                <w:sz w:val="52"/>
              </w:rPr>
            </w:pPr>
            <w:r w:rsidRPr="00F46592">
              <w:rPr>
                <w:b/>
                <w:sz w:val="52"/>
              </w:rPr>
              <w:t>%</w:t>
            </w:r>
            <w:r>
              <w:rPr>
                <w:b/>
                <w:sz w:val="52"/>
              </w:rPr>
              <w:t xml:space="preserve"> </w:t>
            </w:r>
            <w:r w:rsidRPr="00E11018">
              <w:rPr>
                <w:b/>
                <w:sz w:val="24"/>
              </w:rPr>
              <w:t>(1)</w:t>
            </w:r>
          </w:p>
        </w:tc>
      </w:tr>
      <w:tr w:rsidR="00901DDD" w14:paraId="7CBFFDCE" w14:textId="77777777" w:rsidTr="00901DDD">
        <w:trPr>
          <w:trHeight w:val="1273"/>
          <w:jc w:val="center"/>
        </w:trPr>
        <w:tc>
          <w:tcPr>
            <w:tcW w:w="5778" w:type="dxa"/>
            <w:vAlign w:val="center"/>
          </w:tcPr>
          <w:p w14:paraId="575D55A0" w14:textId="77777777" w:rsidR="00901DDD" w:rsidRDefault="00901DDD" w:rsidP="00901DDD">
            <w:pPr>
              <w:rPr>
                <w:i/>
                <w:sz w:val="28"/>
              </w:rPr>
            </w:pPr>
            <w:r w:rsidRPr="00F46592">
              <w:rPr>
                <w:b/>
                <w:sz w:val="28"/>
              </w:rPr>
              <w:t>Taux de rétrocession minimum à l’IS :</w:t>
            </w:r>
            <w:r w:rsidRPr="00F46592">
              <w:rPr>
                <w:i/>
                <w:sz w:val="28"/>
              </w:rPr>
              <w:t xml:space="preserve"> </w:t>
            </w:r>
          </w:p>
          <w:p w14:paraId="32AAB4F7" w14:textId="0A38C863" w:rsidR="00901DDD" w:rsidRPr="00F46592" w:rsidRDefault="00901DDD" w:rsidP="00901DDD">
            <w:pPr>
              <w:rPr>
                <w:b/>
                <w:sz w:val="28"/>
              </w:rPr>
            </w:pPr>
            <w:r w:rsidRPr="00F46592">
              <w:rPr>
                <w:i/>
                <w:sz w:val="24"/>
              </w:rPr>
              <w:t xml:space="preserve">(opérations visées à l’article </w:t>
            </w:r>
            <w:r w:rsidR="00545718">
              <w:rPr>
                <w:i/>
                <w:sz w:val="24"/>
              </w:rPr>
              <w:t>244 quarter Y</w:t>
            </w:r>
            <w:r w:rsidRPr="00F46592">
              <w:rPr>
                <w:i/>
                <w:sz w:val="24"/>
              </w:rPr>
              <w:t xml:space="preserve"> du code général des impôts)</w:t>
            </w:r>
          </w:p>
        </w:tc>
        <w:tc>
          <w:tcPr>
            <w:tcW w:w="2127" w:type="dxa"/>
            <w:vAlign w:val="center"/>
          </w:tcPr>
          <w:p w14:paraId="59ED3967" w14:textId="77777777" w:rsidR="00901DDD" w:rsidRPr="00F46592" w:rsidRDefault="00901DDD" w:rsidP="00901DDD">
            <w:pPr>
              <w:jc w:val="right"/>
              <w:rPr>
                <w:b/>
                <w:sz w:val="52"/>
              </w:rPr>
            </w:pPr>
            <w:r w:rsidRPr="00F46592">
              <w:rPr>
                <w:b/>
                <w:sz w:val="52"/>
              </w:rPr>
              <w:t>%</w:t>
            </w:r>
            <w:r>
              <w:rPr>
                <w:b/>
                <w:sz w:val="52"/>
              </w:rPr>
              <w:t xml:space="preserve"> </w:t>
            </w:r>
            <w:r w:rsidRPr="00E11018">
              <w:rPr>
                <w:b/>
                <w:sz w:val="24"/>
              </w:rPr>
              <w:t>(</w:t>
            </w:r>
            <w:r>
              <w:rPr>
                <w:b/>
                <w:sz w:val="24"/>
              </w:rPr>
              <w:t>1</w:t>
            </w:r>
            <w:r w:rsidRPr="00E11018">
              <w:rPr>
                <w:b/>
                <w:sz w:val="24"/>
              </w:rPr>
              <w:t>)</w:t>
            </w:r>
          </w:p>
        </w:tc>
      </w:tr>
    </w:tbl>
    <w:p w14:paraId="6C78BC6C" w14:textId="77777777" w:rsidR="00901DDD" w:rsidRPr="00C512CC" w:rsidRDefault="00901DDD" w:rsidP="00901DDD">
      <w:pPr>
        <w:jc w:val="both"/>
        <w:rPr>
          <w:b/>
          <w:i/>
          <w:sz w:val="24"/>
        </w:rPr>
      </w:pPr>
      <w:r>
        <w:rPr>
          <w:b/>
          <w:i/>
          <w:sz w:val="24"/>
        </w:rPr>
        <w:br/>
      </w:r>
      <w:r w:rsidRPr="00C512CC">
        <w:rPr>
          <w:b/>
          <w:i/>
          <w:sz w:val="24"/>
        </w:rPr>
        <w:t xml:space="preserve"> (1) Les hypothèses retenues et </w:t>
      </w:r>
      <w:r>
        <w:rPr>
          <w:b/>
          <w:i/>
          <w:sz w:val="24"/>
        </w:rPr>
        <w:t xml:space="preserve">le </w:t>
      </w:r>
      <w:r w:rsidRPr="00C512CC">
        <w:rPr>
          <w:b/>
          <w:i/>
          <w:sz w:val="24"/>
        </w:rPr>
        <w:t>détail des calculs déterminant les taux de rétrocession minimum devront être précisément explicités</w:t>
      </w:r>
      <w:r>
        <w:rPr>
          <w:b/>
          <w:i/>
          <w:sz w:val="24"/>
        </w:rPr>
        <w:t xml:space="preserve"> dans la deuxième partie de la présente annexe</w:t>
      </w:r>
      <w:r w:rsidRPr="00C512CC">
        <w:rPr>
          <w:b/>
          <w:i/>
          <w:sz w:val="24"/>
        </w:rPr>
        <w:t>.</w:t>
      </w:r>
      <w:r w:rsidRPr="00C512CC">
        <w:t xml:space="preserve"> </w:t>
      </w:r>
      <w:r w:rsidRPr="00C512CC">
        <w:rPr>
          <w:b/>
          <w:i/>
        </w:rPr>
        <w:t>(</w:t>
      </w:r>
      <w:r w:rsidRPr="00C512CC">
        <w:rPr>
          <w:b/>
          <w:sz w:val="24"/>
        </w:rPr>
        <w:t>ANNEXE 2 : Taux de rétrocession minimum et taux de rémunération maximum (suite)</w:t>
      </w:r>
      <w:r>
        <w:rPr>
          <w:b/>
          <w:i/>
          <w:sz w:val="24"/>
        </w:rPr>
        <w:t>)</w:t>
      </w:r>
    </w:p>
    <w:p w14:paraId="6EE16D59" w14:textId="77777777" w:rsidR="00901DDD" w:rsidRPr="0041568B" w:rsidRDefault="00901DDD" w:rsidP="00901DDD">
      <w:pPr>
        <w:spacing w:after="0"/>
        <w:jc w:val="both"/>
        <w:rPr>
          <w:sz w:val="24"/>
        </w:rPr>
      </w:pPr>
      <w:r w:rsidRPr="0041568B">
        <w:rPr>
          <w:sz w:val="24"/>
        </w:rPr>
        <w:t xml:space="preserve">Les </w:t>
      </w:r>
      <w:r>
        <w:rPr>
          <w:sz w:val="24"/>
        </w:rPr>
        <w:t xml:space="preserve">taux de rémunération maximum </w:t>
      </w:r>
      <w:r w:rsidRPr="0041568B">
        <w:rPr>
          <w:sz w:val="24"/>
        </w:rPr>
        <w:t xml:space="preserve">s’entendent comme étant la quote-part de </w:t>
      </w:r>
      <w:r>
        <w:rPr>
          <w:sz w:val="24"/>
        </w:rPr>
        <w:t xml:space="preserve">de la base éligible qui constitue </w:t>
      </w:r>
      <w:r w:rsidRPr="0041568B">
        <w:rPr>
          <w:sz w:val="24"/>
        </w:rPr>
        <w:t xml:space="preserve">l’avantage fiscal conservée par le titulaire de l’accord-cadre afin de couvrir l’ensemble des interventions et des prestations réalisées par le titulaire ou ses prestataires en vue de l’atteinte des résultats objet du présent accord cadre. </w:t>
      </w:r>
    </w:p>
    <w:p w14:paraId="592CE1BF" w14:textId="77777777" w:rsidR="00901DDD" w:rsidRPr="00F46592" w:rsidRDefault="00901DDD" w:rsidP="00901DDD">
      <w:pPr>
        <w:spacing w:after="0"/>
        <w:jc w:val="both"/>
        <w:rPr>
          <w:sz w:val="24"/>
        </w:rPr>
      </w:pPr>
    </w:p>
    <w:tbl>
      <w:tblPr>
        <w:tblStyle w:val="Grilledutableau"/>
        <w:tblW w:w="0" w:type="auto"/>
        <w:jc w:val="center"/>
        <w:tblLook w:val="04A0" w:firstRow="1" w:lastRow="0" w:firstColumn="1" w:lastColumn="0" w:noHBand="0" w:noVBand="1"/>
      </w:tblPr>
      <w:tblGrid>
        <w:gridCol w:w="5778"/>
        <w:gridCol w:w="2127"/>
      </w:tblGrid>
      <w:tr w:rsidR="00901DDD" w14:paraId="4FB580DA" w14:textId="77777777" w:rsidTr="00901DDD">
        <w:trPr>
          <w:trHeight w:val="1309"/>
          <w:jc w:val="center"/>
        </w:trPr>
        <w:tc>
          <w:tcPr>
            <w:tcW w:w="5778" w:type="dxa"/>
            <w:vAlign w:val="center"/>
          </w:tcPr>
          <w:p w14:paraId="29DD4450" w14:textId="77777777" w:rsidR="00901DDD" w:rsidRDefault="00901DDD" w:rsidP="00901DDD">
            <w:pPr>
              <w:rPr>
                <w:b/>
                <w:sz w:val="28"/>
              </w:rPr>
            </w:pPr>
            <w:r>
              <w:rPr>
                <w:b/>
                <w:sz w:val="28"/>
              </w:rPr>
              <w:t xml:space="preserve">Taux de rémunération maximum </w:t>
            </w:r>
            <w:r w:rsidRPr="00F46592">
              <w:rPr>
                <w:b/>
                <w:sz w:val="28"/>
              </w:rPr>
              <w:t xml:space="preserve">à l’IR : </w:t>
            </w:r>
          </w:p>
          <w:p w14:paraId="2892886E" w14:textId="77777777" w:rsidR="00901DDD" w:rsidRPr="001C6B1B" w:rsidRDefault="00901DDD" w:rsidP="00901DDD">
            <w:pPr>
              <w:rPr>
                <w:b/>
                <w:sz w:val="24"/>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127" w:type="dxa"/>
            <w:vAlign w:val="center"/>
          </w:tcPr>
          <w:p w14:paraId="1888B5DC" w14:textId="77777777" w:rsidR="00901DDD" w:rsidRPr="00F46592" w:rsidRDefault="00901DDD" w:rsidP="00901DDD">
            <w:pPr>
              <w:jc w:val="right"/>
              <w:rPr>
                <w:b/>
                <w:sz w:val="52"/>
              </w:rPr>
            </w:pPr>
            <w:r w:rsidRPr="00F46592">
              <w:rPr>
                <w:b/>
                <w:sz w:val="52"/>
              </w:rPr>
              <w:t>%</w:t>
            </w:r>
          </w:p>
        </w:tc>
      </w:tr>
      <w:tr w:rsidR="00901DDD" w14:paraId="13548F2D" w14:textId="77777777" w:rsidTr="00901DDD">
        <w:trPr>
          <w:trHeight w:val="1285"/>
          <w:jc w:val="center"/>
        </w:trPr>
        <w:tc>
          <w:tcPr>
            <w:tcW w:w="5778" w:type="dxa"/>
            <w:vAlign w:val="center"/>
          </w:tcPr>
          <w:p w14:paraId="011D136D" w14:textId="77777777" w:rsidR="00901DDD" w:rsidRDefault="00901DDD" w:rsidP="00901DDD">
            <w:pPr>
              <w:rPr>
                <w:i/>
                <w:sz w:val="28"/>
              </w:rPr>
            </w:pPr>
            <w:r>
              <w:rPr>
                <w:b/>
                <w:sz w:val="28"/>
              </w:rPr>
              <w:t xml:space="preserve">Taux de rémunération maximum </w:t>
            </w:r>
            <w:r w:rsidRPr="00F46592">
              <w:rPr>
                <w:b/>
                <w:sz w:val="28"/>
              </w:rPr>
              <w:t>à l’IS :</w:t>
            </w:r>
            <w:r w:rsidRPr="00F46592">
              <w:rPr>
                <w:i/>
                <w:sz w:val="28"/>
              </w:rPr>
              <w:t xml:space="preserve"> </w:t>
            </w:r>
          </w:p>
          <w:p w14:paraId="537EE31C" w14:textId="34C88CB0" w:rsidR="00901DDD" w:rsidRPr="00F46592" w:rsidRDefault="00901DDD" w:rsidP="00901DDD">
            <w:pPr>
              <w:rPr>
                <w:b/>
                <w:sz w:val="28"/>
              </w:rPr>
            </w:pPr>
            <w:r w:rsidRPr="00F46592">
              <w:rPr>
                <w:i/>
                <w:sz w:val="24"/>
              </w:rPr>
              <w:t xml:space="preserve">(opérations visées à l’article </w:t>
            </w:r>
            <w:r w:rsidR="00545718">
              <w:rPr>
                <w:i/>
                <w:sz w:val="24"/>
              </w:rPr>
              <w:t>244 quarter Y</w:t>
            </w:r>
            <w:r w:rsidRPr="00F46592">
              <w:rPr>
                <w:i/>
                <w:sz w:val="24"/>
              </w:rPr>
              <w:t xml:space="preserve"> du code général des impôts)</w:t>
            </w:r>
          </w:p>
        </w:tc>
        <w:tc>
          <w:tcPr>
            <w:tcW w:w="2127" w:type="dxa"/>
            <w:vAlign w:val="center"/>
          </w:tcPr>
          <w:p w14:paraId="45DB90F3" w14:textId="77777777" w:rsidR="00901DDD" w:rsidRPr="00F46592" w:rsidRDefault="00901DDD" w:rsidP="00901DDD">
            <w:pPr>
              <w:jc w:val="right"/>
              <w:rPr>
                <w:b/>
                <w:sz w:val="52"/>
              </w:rPr>
            </w:pPr>
            <w:r w:rsidRPr="00F46592">
              <w:rPr>
                <w:b/>
                <w:sz w:val="52"/>
              </w:rPr>
              <w:t>%</w:t>
            </w:r>
          </w:p>
        </w:tc>
      </w:tr>
    </w:tbl>
    <w:p w14:paraId="2E055D1B" w14:textId="77777777" w:rsidR="00901DDD" w:rsidRPr="00FE66C5" w:rsidRDefault="00901DDD" w:rsidP="00901DDD">
      <w:pPr>
        <w:pStyle w:val="Titre1"/>
      </w:pPr>
      <w:bookmarkStart w:id="46" w:name="_Toc400552447"/>
      <w:bookmarkStart w:id="47" w:name="_Toc145312200"/>
      <w:r w:rsidRPr="00FE66C5">
        <w:lastRenderedPageBreak/>
        <w:t xml:space="preserve">ANNEXE </w:t>
      </w:r>
      <w:r>
        <w:t>2</w:t>
      </w:r>
      <w:r w:rsidRPr="00FE66C5">
        <w:t xml:space="preserve"> : </w:t>
      </w:r>
      <w:r>
        <w:t>Taux de rétrocession minimum et taux de rémunération maximum, base éligible plancher (suite)</w:t>
      </w:r>
      <w:bookmarkEnd w:id="46"/>
      <w:bookmarkEnd w:id="47"/>
    </w:p>
    <w:p w14:paraId="1ED1B1A6" w14:textId="77777777" w:rsidR="00901DDD" w:rsidRPr="00700203" w:rsidRDefault="00901DDD" w:rsidP="00901DDD">
      <w:pPr>
        <w:jc w:val="both"/>
        <w:rPr>
          <w:sz w:val="23"/>
          <w:szCs w:val="23"/>
        </w:rPr>
      </w:pPr>
      <w:r w:rsidRPr="00700203">
        <w:rPr>
          <w:sz w:val="23"/>
          <w:szCs w:val="23"/>
        </w:rPr>
        <w:t xml:space="preserve">Le candidat précisera les modalités permettant de déterminer le taux de rétrocession minimum proposé à </w:t>
      </w:r>
      <w:r>
        <w:rPr>
          <w:sz w:val="23"/>
          <w:szCs w:val="23"/>
        </w:rPr>
        <w:t xml:space="preserve">l’IR et à </w:t>
      </w:r>
      <w:r w:rsidRPr="00700203">
        <w:rPr>
          <w:sz w:val="23"/>
          <w:szCs w:val="23"/>
        </w:rPr>
        <w:t>l’IS. Il précisera également l’ensemble des hypothèses retenues (tranche d’imposition marginale de l’investisseur, taux de rétrocession consenti par l’investisseur, taux d’actualisation …) et les mécanismes fiscaux envisagés pour optimiser l’opération pour chacune des parties (moins-value de cession, intérêts déductibles, imputation des déficits, abandon de créance …).</w:t>
      </w:r>
    </w:p>
    <w:p w14:paraId="6D98E2CD" w14:textId="77777777" w:rsidR="00901DDD" w:rsidRDefault="00901DDD" w:rsidP="00901DDD">
      <w:pPr>
        <w:jc w:val="both"/>
        <w:rPr>
          <w:b/>
          <w:sz w:val="24"/>
        </w:rPr>
      </w:pPr>
    </w:p>
    <w:p w14:paraId="1D41C6D7" w14:textId="77777777" w:rsidR="00901DDD" w:rsidRPr="0094274E" w:rsidRDefault="00901DDD" w:rsidP="00901DDD">
      <w:pPr>
        <w:jc w:val="both"/>
        <w:rPr>
          <w:sz w:val="24"/>
        </w:rPr>
      </w:pPr>
      <w:r w:rsidRPr="0094274E">
        <w:rPr>
          <w:b/>
          <w:sz w:val="24"/>
        </w:rPr>
        <w:t xml:space="preserve">1°) </w:t>
      </w:r>
      <w:r w:rsidRPr="0094274E">
        <w:rPr>
          <w:b/>
          <w:sz w:val="24"/>
          <w:u w:val="single"/>
        </w:rPr>
        <w:t>Hypothèses retenues et détail des calculs déterminant les taux de rétrocession minimum à l’IR</w:t>
      </w:r>
      <w:r>
        <w:rPr>
          <w:b/>
          <w:sz w:val="24"/>
          <w:u w:val="single"/>
        </w:rPr>
        <w:t xml:space="preserve"> (199 C)</w:t>
      </w:r>
      <w:r w:rsidRPr="0094274E">
        <w:rPr>
          <w:b/>
          <w:sz w:val="24"/>
        </w:rPr>
        <w:t> :</w:t>
      </w:r>
    </w:p>
    <w:p w14:paraId="7F75DD06" w14:textId="77777777" w:rsidR="00901DDD" w:rsidRPr="00700203" w:rsidRDefault="00901DDD" w:rsidP="00901DDD">
      <w:pPr>
        <w:jc w:val="both"/>
        <w:rPr>
          <w:sz w:val="23"/>
          <w:szCs w:val="23"/>
        </w:rPr>
      </w:pPr>
      <w:r w:rsidRPr="00700203">
        <w:rPr>
          <w:sz w:val="23"/>
          <w:szCs w:val="23"/>
        </w:rPr>
        <w:t xml:space="preserve">Sur la base de l’exemple théorique ci-dessous, le candidat effectuera et explicitera le calcul permettant de déterminer le gain fiscal pour l’investisseur, la rémunération du candidat et la rétrocession nette pour le FCH. </w:t>
      </w:r>
    </w:p>
    <w:tbl>
      <w:tblPr>
        <w:tblStyle w:val="Grilledutableau"/>
        <w:tblW w:w="0" w:type="auto"/>
        <w:jc w:val="center"/>
        <w:tblLook w:val="04A0" w:firstRow="1" w:lastRow="0" w:firstColumn="1" w:lastColumn="0" w:noHBand="0" w:noVBand="1"/>
      </w:tblPr>
      <w:tblGrid>
        <w:gridCol w:w="3260"/>
        <w:gridCol w:w="1647"/>
      </w:tblGrid>
      <w:tr w:rsidR="00901DDD" w:rsidRPr="00F46592" w14:paraId="4EFC4CD6" w14:textId="77777777" w:rsidTr="00901DDD">
        <w:trPr>
          <w:trHeight w:val="447"/>
          <w:jc w:val="center"/>
        </w:trPr>
        <w:tc>
          <w:tcPr>
            <w:tcW w:w="3260" w:type="dxa"/>
            <w:vAlign w:val="center"/>
          </w:tcPr>
          <w:p w14:paraId="67AD34DA" w14:textId="77777777" w:rsidR="00901DDD" w:rsidRPr="002E3C19" w:rsidRDefault="00901DDD" w:rsidP="00901DDD">
            <w:pPr>
              <w:rPr>
                <w:sz w:val="24"/>
                <w:szCs w:val="24"/>
              </w:rPr>
            </w:pPr>
            <w:r w:rsidRPr="002E3C19">
              <w:rPr>
                <w:sz w:val="24"/>
                <w:szCs w:val="24"/>
              </w:rPr>
              <w:t>Montant de l’investissement : </w:t>
            </w:r>
          </w:p>
        </w:tc>
        <w:tc>
          <w:tcPr>
            <w:tcW w:w="1647" w:type="dxa"/>
            <w:vAlign w:val="center"/>
          </w:tcPr>
          <w:p w14:paraId="7AD16AD4" w14:textId="77777777" w:rsidR="00901DDD" w:rsidRPr="002E3C19" w:rsidRDefault="00901DDD" w:rsidP="00901DDD">
            <w:pPr>
              <w:jc w:val="center"/>
              <w:rPr>
                <w:sz w:val="24"/>
                <w:szCs w:val="24"/>
              </w:rPr>
            </w:pPr>
            <w:r w:rsidRPr="002E3C19">
              <w:rPr>
                <w:sz w:val="24"/>
                <w:szCs w:val="24"/>
              </w:rPr>
              <w:t>800 MF.CFP</w:t>
            </w:r>
          </w:p>
        </w:tc>
      </w:tr>
      <w:tr w:rsidR="00901DDD" w:rsidRPr="00F46592" w14:paraId="1FCEB2AF" w14:textId="77777777" w:rsidTr="00901DDD">
        <w:trPr>
          <w:trHeight w:val="410"/>
          <w:jc w:val="center"/>
        </w:trPr>
        <w:tc>
          <w:tcPr>
            <w:tcW w:w="3260" w:type="dxa"/>
            <w:vAlign w:val="center"/>
          </w:tcPr>
          <w:p w14:paraId="401C9777" w14:textId="77777777" w:rsidR="00901DDD" w:rsidRPr="002E3C19" w:rsidRDefault="00901DDD" w:rsidP="00901DDD">
            <w:pPr>
              <w:rPr>
                <w:sz w:val="24"/>
                <w:szCs w:val="24"/>
              </w:rPr>
            </w:pPr>
            <w:r w:rsidRPr="002E3C19">
              <w:rPr>
                <w:sz w:val="24"/>
                <w:szCs w:val="24"/>
              </w:rPr>
              <w:t>Base éligible retenue :</w:t>
            </w:r>
          </w:p>
        </w:tc>
        <w:tc>
          <w:tcPr>
            <w:tcW w:w="1647" w:type="dxa"/>
            <w:vAlign w:val="center"/>
          </w:tcPr>
          <w:p w14:paraId="23EB9563" w14:textId="77777777" w:rsidR="00901DDD" w:rsidRPr="002E3C19" w:rsidRDefault="00901DDD" w:rsidP="00901DDD">
            <w:pPr>
              <w:jc w:val="center"/>
              <w:rPr>
                <w:sz w:val="24"/>
                <w:szCs w:val="24"/>
              </w:rPr>
            </w:pPr>
            <w:r w:rsidRPr="002E3C19">
              <w:rPr>
                <w:sz w:val="24"/>
                <w:szCs w:val="24"/>
              </w:rPr>
              <w:t>640 MF.CFP</w:t>
            </w:r>
          </w:p>
        </w:tc>
      </w:tr>
      <w:tr w:rsidR="00901DDD" w:rsidRPr="00F46592" w14:paraId="1C4C4E1D" w14:textId="77777777" w:rsidTr="00901DDD">
        <w:trPr>
          <w:trHeight w:val="416"/>
          <w:jc w:val="center"/>
        </w:trPr>
        <w:tc>
          <w:tcPr>
            <w:tcW w:w="3260" w:type="dxa"/>
            <w:vAlign w:val="center"/>
          </w:tcPr>
          <w:p w14:paraId="57A9B47F" w14:textId="77777777" w:rsidR="00901DDD" w:rsidRPr="002E3C19" w:rsidRDefault="00901DDD" w:rsidP="00901DDD">
            <w:pPr>
              <w:rPr>
                <w:sz w:val="24"/>
                <w:szCs w:val="24"/>
              </w:rPr>
            </w:pPr>
            <w:r w:rsidRPr="002E3C19">
              <w:rPr>
                <w:sz w:val="24"/>
                <w:szCs w:val="24"/>
              </w:rPr>
              <w:t>Durée des travaux :</w:t>
            </w:r>
          </w:p>
        </w:tc>
        <w:tc>
          <w:tcPr>
            <w:tcW w:w="1647" w:type="dxa"/>
            <w:vAlign w:val="center"/>
          </w:tcPr>
          <w:p w14:paraId="247E4C92" w14:textId="77777777" w:rsidR="00901DDD" w:rsidRPr="002E3C19" w:rsidRDefault="00901DDD" w:rsidP="00901DDD">
            <w:pPr>
              <w:jc w:val="center"/>
              <w:rPr>
                <w:sz w:val="24"/>
                <w:szCs w:val="24"/>
              </w:rPr>
            </w:pPr>
            <w:r w:rsidRPr="002E3C19">
              <w:rPr>
                <w:sz w:val="24"/>
                <w:szCs w:val="24"/>
              </w:rPr>
              <w:t>24 mois</w:t>
            </w:r>
          </w:p>
        </w:tc>
      </w:tr>
      <w:tr w:rsidR="00901DDD" w:rsidRPr="00F46592" w14:paraId="2D1D0E46" w14:textId="77777777" w:rsidTr="00901DDD">
        <w:trPr>
          <w:trHeight w:val="423"/>
          <w:jc w:val="center"/>
        </w:trPr>
        <w:tc>
          <w:tcPr>
            <w:tcW w:w="3260" w:type="dxa"/>
            <w:vAlign w:val="center"/>
          </w:tcPr>
          <w:p w14:paraId="365D768B" w14:textId="77777777" w:rsidR="00901DDD" w:rsidRPr="002E3C19" w:rsidRDefault="00901DDD" w:rsidP="00901DDD">
            <w:pPr>
              <w:rPr>
                <w:sz w:val="24"/>
                <w:szCs w:val="24"/>
              </w:rPr>
            </w:pPr>
            <w:r w:rsidRPr="002E3C19">
              <w:rPr>
                <w:sz w:val="24"/>
                <w:szCs w:val="24"/>
              </w:rPr>
              <w:t>Achèvement des fondations :</w:t>
            </w:r>
          </w:p>
        </w:tc>
        <w:tc>
          <w:tcPr>
            <w:tcW w:w="1647" w:type="dxa"/>
            <w:vAlign w:val="center"/>
          </w:tcPr>
          <w:p w14:paraId="3A997B54" w14:textId="77777777" w:rsidR="00901DDD" w:rsidRPr="002E3C19" w:rsidRDefault="00901DDD" w:rsidP="00901DDD">
            <w:pPr>
              <w:jc w:val="center"/>
              <w:rPr>
                <w:sz w:val="24"/>
                <w:szCs w:val="24"/>
              </w:rPr>
            </w:pPr>
            <w:r w:rsidRPr="002E3C19">
              <w:rPr>
                <w:sz w:val="24"/>
                <w:szCs w:val="24"/>
              </w:rPr>
              <w:t>6</w:t>
            </w:r>
            <w:r w:rsidRPr="002E3C19">
              <w:rPr>
                <w:sz w:val="24"/>
                <w:szCs w:val="24"/>
                <w:vertAlign w:val="superscript"/>
              </w:rPr>
              <w:t>ème</w:t>
            </w:r>
            <w:r w:rsidRPr="002E3C19">
              <w:rPr>
                <w:sz w:val="24"/>
                <w:szCs w:val="24"/>
              </w:rPr>
              <w:t xml:space="preserve"> mois</w:t>
            </w:r>
          </w:p>
        </w:tc>
      </w:tr>
    </w:tbl>
    <w:p w14:paraId="4EB95537" w14:textId="77777777" w:rsidR="00901DDD" w:rsidRDefault="00901DDD" w:rsidP="00901DDD">
      <w:pPr>
        <w:jc w:val="both"/>
        <w:rPr>
          <w:sz w:val="24"/>
        </w:rPr>
      </w:pPr>
    </w:p>
    <w:p w14:paraId="37070B41" w14:textId="47AEB853" w:rsidR="00901DDD" w:rsidRPr="0094274E" w:rsidRDefault="00901DDD" w:rsidP="00901DDD">
      <w:pPr>
        <w:jc w:val="both"/>
        <w:rPr>
          <w:b/>
          <w:sz w:val="24"/>
        </w:rPr>
      </w:pPr>
      <w:r w:rsidRPr="0094274E">
        <w:rPr>
          <w:b/>
          <w:sz w:val="24"/>
        </w:rPr>
        <w:t xml:space="preserve">2°) </w:t>
      </w:r>
      <w:r w:rsidRPr="0094274E">
        <w:rPr>
          <w:b/>
          <w:sz w:val="24"/>
          <w:u w:val="single"/>
        </w:rPr>
        <w:t>Hypothèses retenues et détail des calculs déterminant les taux de rétrocession minimum à l’IS</w:t>
      </w:r>
      <w:r w:rsidR="00F34C64">
        <w:rPr>
          <w:b/>
          <w:sz w:val="24"/>
          <w:u w:val="single"/>
        </w:rPr>
        <w:t xml:space="preserve"> (244 Y</w:t>
      </w:r>
      <w:r>
        <w:rPr>
          <w:b/>
          <w:sz w:val="24"/>
          <w:u w:val="single"/>
        </w:rPr>
        <w:t>)</w:t>
      </w:r>
      <w:r w:rsidRPr="0094274E">
        <w:rPr>
          <w:b/>
          <w:sz w:val="24"/>
        </w:rPr>
        <w:t> :</w:t>
      </w:r>
    </w:p>
    <w:p w14:paraId="24478226" w14:textId="77777777" w:rsidR="00901DDD" w:rsidRPr="00700203" w:rsidRDefault="00901DDD" w:rsidP="00901DDD">
      <w:pPr>
        <w:jc w:val="both"/>
        <w:rPr>
          <w:sz w:val="23"/>
          <w:szCs w:val="23"/>
        </w:rPr>
      </w:pPr>
      <w:r w:rsidRPr="00700203">
        <w:rPr>
          <w:sz w:val="23"/>
          <w:szCs w:val="23"/>
        </w:rPr>
        <w:t xml:space="preserve">Sur la base de l’exemple théorique ci-dessous, le candidat effectuera et explicitera le calcul permettant de déterminer le gain fiscal pour l’investisseur, la rémunération du candidat et la rétrocession nette pour le FCH. </w:t>
      </w:r>
    </w:p>
    <w:tbl>
      <w:tblPr>
        <w:tblStyle w:val="Grilledutableau"/>
        <w:tblW w:w="0" w:type="auto"/>
        <w:jc w:val="center"/>
        <w:tblLook w:val="04A0" w:firstRow="1" w:lastRow="0" w:firstColumn="1" w:lastColumn="0" w:noHBand="0" w:noVBand="1"/>
      </w:tblPr>
      <w:tblGrid>
        <w:gridCol w:w="3260"/>
        <w:gridCol w:w="1647"/>
      </w:tblGrid>
      <w:tr w:rsidR="00901DDD" w:rsidRPr="00F46592" w14:paraId="6CF0E4EA" w14:textId="77777777" w:rsidTr="00901DDD">
        <w:trPr>
          <w:trHeight w:val="447"/>
          <w:jc w:val="center"/>
        </w:trPr>
        <w:tc>
          <w:tcPr>
            <w:tcW w:w="3260" w:type="dxa"/>
            <w:vAlign w:val="center"/>
          </w:tcPr>
          <w:p w14:paraId="6658B4DC" w14:textId="77777777" w:rsidR="00901DDD" w:rsidRPr="002E3C19" w:rsidRDefault="00901DDD" w:rsidP="00901DDD">
            <w:pPr>
              <w:rPr>
                <w:sz w:val="24"/>
                <w:szCs w:val="24"/>
              </w:rPr>
            </w:pPr>
            <w:r w:rsidRPr="002E3C19">
              <w:rPr>
                <w:sz w:val="24"/>
                <w:szCs w:val="24"/>
              </w:rPr>
              <w:t>Montant de l’investissement : </w:t>
            </w:r>
          </w:p>
        </w:tc>
        <w:tc>
          <w:tcPr>
            <w:tcW w:w="1647" w:type="dxa"/>
            <w:vAlign w:val="center"/>
          </w:tcPr>
          <w:p w14:paraId="741F3994" w14:textId="77777777" w:rsidR="00901DDD" w:rsidRPr="002E3C19" w:rsidRDefault="00901DDD" w:rsidP="00901DDD">
            <w:pPr>
              <w:jc w:val="center"/>
              <w:rPr>
                <w:sz w:val="24"/>
                <w:szCs w:val="24"/>
              </w:rPr>
            </w:pPr>
            <w:r>
              <w:rPr>
                <w:sz w:val="24"/>
                <w:szCs w:val="24"/>
              </w:rPr>
              <w:t>2.000</w:t>
            </w:r>
            <w:r w:rsidRPr="002E3C19">
              <w:rPr>
                <w:sz w:val="24"/>
                <w:szCs w:val="24"/>
              </w:rPr>
              <w:t xml:space="preserve"> MF.CFP</w:t>
            </w:r>
          </w:p>
        </w:tc>
      </w:tr>
      <w:tr w:rsidR="00901DDD" w:rsidRPr="00F46592" w14:paraId="1EA4D98E" w14:textId="77777777" w:rsidTr="00901DDD">
        <w:trPr>
          <w:trHeight w:val="410"/>
          <w:jc w:val="center"/>
        </w:trPr>
        <w:tc>
          <w:tcPr>
            <w:tcW w:w="3260" w:type="dxa"/>
            <w:vAlign w:val="center"/>
          </w:tcPr>
          <w:p w14:paraId="708AD27A" w14:textId="77777777" w:rsidR="00901DDD" w:rsidRPr="002E3C19" w:rsidRDefault="00901DDD" w:rsidP="00901DDD">
            <w:pPr>
              <w:rPr>
                <w:sz w:val="24"/>
                <w:szCs w:val="24"/>
              </w:rPr>
            </w:pPr>
            <w:r w:rsidRPr="002E3C19">
              <w:rPr>
                <w:sz w:val="24"/>
                <w:szCs w:val="24"/>
              </w:rPr>
              <w:t>Base éligible retenue :</w:t>
            </w:r>
          </w:p>
        </w:tc>
        <w:tc>
          <w:tcPr>
            <w:tcW w:w="1647" w:type="dxa"/>
            <w:vAlign w:val="center"/>
          </w:tcPr>
          <w:p w14:paraId="18B97AB3" w14:textId="77777777" w:rsidR="00901DDD" w:rsidRPr="002E3C19" w:rsidRDefault="00901DDD" w:rsidP="00901DDD">
            <w:pPr>
              <w:jc w:val="center"/>
              <w:rPr>
                <w:sz w:val="24"/>
                <w:szCs w:val="24"/>
              </w:rPr>
            </w:pPr>
            <w:r>
              <w:rPr>
                <w:sz w:val="24"/>
                <w:szCs w:val="24"/>
              </w:rPr>
              <w:t>1.600</w:t>
            </w:r>
            <w:r w:rsidRPr="002E3C19">
              <w:rPr>
                <w:sz w:val="24"/>
                <w:szCs w:val="24"/>
              </w:rPr>
              <w:t xml:space="preserve"> MF.CFP</w:t>
            </w:r>
          </w:p>
        </w:tc>
      </w:tr>
      <w:tr w:rsidR="00901DDD" w:rsidRPr="00F46592" w14:paraId="6509A0F5" w14:textId="77777777" w:rsidTr="00901DDD">
        <w:trPr>
          <w:trHeight w:val="416"/>
          <w:jc w:val="center"/>
        </w:trPr>
        <w:tc>
          <w:tcPr>
            <w:tcW w:w="3260" w:type="dxa"/>
            <w:vAlign w:val="center"/>
          </w:tcPr>
          <w:p w14:paraId="353ADCBA" w14:textId="77777777" w:rsidR="00901DDD" w:rsidRPr="002E3C19" w:rsidRDefault="00901DDD" w:rsidP="00901DDD">
            <w:pPr>
              <w:rPr>
                <w:sz w:val="24"/>
                <w:szCs w:val="24"/>
              </w:rPr>
            </w:pPr>
            <w:r w:rsidRPr="002E3C19">
              <w:rPr>
                <w:sz w:val="24"/>
                <w:szCs w:val="24"/>
              </w:rPr>
              <w:t>Durée des travaux :</w:t>
            </w:r>
          </w:p>
        </w:tc>
        <w:tc>
          <w:tcPr>
            <w:tcW w:w="1647" w:type="dxa"/>
            <w:vAlign w:val="center"/>
          </w:tcPr>
          <w:p w14:paraId="2E3291A1" w14:textId="77777777" w:rsidR="00901DDD" w:rsidRPr="002E3C19" w:rsidRDefault="00901DDD" w:rsidP="00901DDD">
            <w:pPr>
              <w:jc w:val="center"/>
              <w:rPr>
                <w:sz w:val="24"/>
                <w:szCs w:val="24"/>
              </w:rPr>
            </w:pPr>
            <w:r w:rsidRPr="002E3C19">
              <w:rPr>
                <w:sz w:val="24"/>
                <w:szCs w:val="24"/>
              </w:rPr>
              <w:t>24 mois</w:t>
            </w:r>
          </w:p>
        </w:tc>
      </w:tr>
      <w:tr w:rsidR="00901DDD" w:rsidRPr="00F46592" w14:paraId="1BFC7F02" w14:textId="77777777" w:rsidTr="00901DDD">
        <w:trPr>
          <w:trHeight w:val="423"/>
          <w:jc w:val="center"/>
        </w:trPr>
        <w:tc>
          <w:tcPr>
            <w:tcW w:w="3260" w:type="dxa"/>
            <w:vAlign w:val="center"/>
          </w:tcPr>
          <w:p w14:paraId="3D70BE2E" w14:textId="77777777" w:rsidR="00901DDD" w:rsidRPr="002E3C19" w:rsidRDefault="00901DDD" w:rsidP="00901DDD">
            <w:pPr>
              <w:rPr>
                <w:sz w:val="24"/>
                <w:szCs w:val="24"/>
              </w:rPr>
            </w:pPr>
            <w:r w:rsidRPr="002E3C19">
              <w:rPr>
                <w:sz w:val="24"/>
                <w:szCs w:val="24"/>
              </w:rPr>
              <w:t>Achèvement des fondations :</w:t>
            </w:r>
          </w:p>
        </w:tc>
        <w:tc>
          <w:tcPr>
            <w:tcW w:w="1647" w:type="dxa"/>
            <w:vAlign w:val="center"/>
          </w:tcPr>
          <w:p w14:paraId="293CC91F" w14:textId="77777777" w:rsidR="00901DDD" w:rsidRPr="002E3C19" w:rsidRDefault="00901DDD" w:rsidP="00901DDD">
            <w:pPr>
              <w:jc w:val="center"/>
              <w:rPr>
                <w:sz w:val="24"/>
                <w:szCs w:val="24"/>
              </w:rPr>
            </w:pPr>
            <w:r w:rsidRPr="002E3C19">
              <w:rPr>
                <w:sz w:val="24"/>
                <w:szCs w:val="24"/>
              </w:rPr>
              <w:t>6</w:t>
            </w:r>
            <w:r w:rsidRPr="002E3C19">
              <w:rPr>
                <w:sz w:val="24"/>
                <w:szCs w:val="24"/>
                <w:vertAlign w:val="superscript"/>
              </w:rPr>
              <w:t>ème</w:t>
            </w:r>
            <w:r w:rsidRPr="002E3C19">
              <w:rPr>
                <w:sz w:val="24"/>
                <w:szCs w:val="24"/>
              </w:rPr>
              <w:t xml:space="preserve"> mois</w:t>
            </w:r>
          </w:p>
        </w:tc>
      </w:tr>
    </w:tbl>
    <w:p w14:paraId="40A133E9" w14:textId="77777777" w:rsidR="00901DDD" w:rsidRDefault="00901DDD" w:rsidP="00901DDD">
      <w:pPr>
        <w:jc w:val="center"/>
        <w:rPr>
          <w:rFonts w:asciiTheme="majorHAnsi" w:eastAsiaTheme="majorEastAsia" w:hAnsiTheme="majorHAnsi" w:cstheme="majorBidi"/>
          <w:b/>
          <w:color w:val="17365D" w:themeColor="text2" w:themeShade="BF"/>
          <w:spacing w:val="5"/>
          <w:kern w:val="28"/>
          <w:sz w:val="32"/>
          <w:szCs w:val="52"/>
        </w:rPr>
      </w:pPr>
    </w:p>
    <w:p w14:paraId="035156BA" w14:textId="77777777" w:rsidR="00901DDD" w:rsidRDefault="00901DDD" w:rsidP="00901DDD">
      <w:pPr>
        <w:jc w:val="center"/>
        <w:rPr>
          <w:rFonts w:asciiTheme="majorHAnsi" w:eastAsiaTheme="majorEastAsia" w:hAnsiTheme="majorHAnsi" w:cstheme="majorBidi"/>
          <w:b/>
          <w:color w:val="17365D" w:themeColor="text2" w:themeShade="BF"/>
          <w:spacing w:val="5"/>
          <w:kern w:val="28"/>
          <w:sz w:val="40"/>
          <w:szCs w:val="52"/>
        </w:rPr>
      </w:pPr>
      <w:r w:rsidRPr="00073DE0">
        <w:rPr>
          <w:rFonts w:asciiTheme="majorHAnsi" w:eastAsiaTheme="majorEastAsia" w:hAnsiTheme="majorHAnsi" w:cstheme="majorBidi"/>
          <w:b/>
          <w:color w:val="17365D" w:themeColor="text2" w:themeShade="BF"/>
          <w:spacing w:val="5"/>
          <w:kern w:val="28"/>
          <w:sz w:val="32"/>
          <w:szCs w:val="52"/>
        </w:rPr>
        <w:t>[</w:t>
      </w:r>
      <w:r>
        <w:rPr>
          <w:rFonts w:asciiTheme="majorHAnsi" w:eastAsiaTheme="majorEastAsia" w:hAnsiTheme="majorHAnsi" w:cstheme="majorBidi"/>
          <w:b/>
          <w:color w:val="17365D" w:themeColor="text2" w:themeShade="BF"/>
          <w:spacing w:val="5"/>
          <w:kern w:val="28"/>
          <w:sz w:val="32"/>
          <w:szCs w:val="52"/>
        </w:rPr>
        <w:t>Détail des calculs fournis par le candidat à intégrer</w:t>
      </w:r>
      <w:r w:rsidRPr="00073DE0">
        <w:rPr>
          <w:rFonts w:asciiTheme="majorHAnsi" w:eastAsiaTheme="majorEastAsia" w:hAnsiTheme="majorHAnsi" w:cstheme="majorBidi"/>
          <w:b/>
          <w:color w:val="17365D" w:themeColor="text2" w:themeShade="BF"/>
          <w:spacing w:val="5"/>
          <w:kern w:val="28"/>
          <w:sz w:val="32"/>
          <w:szCs w:val="52"/>
        </w:rPr>
        <w:t>]</w:t>
      </w:r>
      <w:r>
        <w:br w:type="page"/>
      </w:r>
    </w:p>
    <w:p w14:paraId="6278D251" w14:textId="77777777" w:rsidR="00901DDD" w:rsidRPr="00FE66C5" w:rsidRDefault="00901DDD" w:rsidP="00901DDD">
      <w:pPr>
        <w:pStyle w:val="Titre1"/>
      </w:pPr>
      <w:bookmarkStart w:id="48" w:name="_Toc145312201"/>
      <w:r w:rsidRPr="00FE66C5">
        <w:lastRenderedPageBreak/>
        <w:t xml:space="preserve">ANNEXE </w:t>
      </w:r>
      <w:r>
        <w:t>2</w:t>
      </w:r>
      <w:r w:rsidRPr="00FE66C5">
        <w:t xml:space="preserve"> : ANNEXE </w:t>
      </w:r>
      <w:r>
        <w:t>2</w:t>
      </w:r>
      <w:r w:rsidRPr="00FE66C5">
        <w:t xml:space="preserve"> : </w:t>
      </w:r>
      <w:r>
        <w:t>Taux de rétrocession minimum et taux de rémunération maximum, base éligible plancher (suite)</w:t>
      </w:r>
      <w:bookmarkEnd w:id="48"/>
    </w:p>
    <w:p w14:paraId="502968D6" w14:textId="77777777" w:rsidR="00901DDD" w:rsidRDefault="00901DDD" w:rsidP="00901DDD">
      <w:pPr>
        <w:jc w:val="both"/>
        <w:rPr>
          <w:b/>
          <w:sz w:val="24"/>
        </w:rPr>
      </w:pPr>
      <w:r w:rsidRPr="0094274E">
        <w:rPr>
          <w:b/>
          <w:sz w:val="24"/>
        </w:rPr>
        <w:t xml:space="preserve">1°) </w:t>
      </w:r>
      <w:r>
        <w:rPr>
          <w:b/>
          <w:sz w:val="24"/>
          <w:u w:val="single"/>
        </w:rPr>
        <w:t>Base éligible plancher</w:t>
      </w:r>
      <w:r w:rsidRPr="0094274E">
        <w:rPr>
          <w:b/>
          <w:sz w:val="24"/>
          <w:u w:val="single"/>
        </w:rPr>
        <w:t xml:space="preserve"> à l’IR</w:t>
      </w:r>
      <w:r>
        <w:rPr>
          <w:b/>
          <w:sz w:val="24"/>
          <w:u w:val="single"/>
        </w:rPr>
        <w:t xml:space="preserve"> (199 C)</w:t>
      </w:r>
      <w:r w:rsidRPr="0094274E">
        <w:rPr>
          <w:b/>
          <w:sz w:val="24"/>
        </w:rPr>
        <w:t> :</w:t>
      </w:r>
    </w:p>
    <w:p w14:paraId="5FA7AA70" w14:textId="77777777" w:rsidR="00901DDD" w:rsidRDefault="00901DDD" w:rsidP="00901DDD">
      <w:pPr>
        <w:jc w:val="both"/>
        <w:rPr>
          <w:b/>
          <w:sz w:val="24"/>
        </w:rPr>
      </w:pPr>
    </w:p>
    <w:p w14:paraId="3E427C94" w14:textId="77777777" w:rsidR="00901DDD" w:rsidRDefault="00901DDD" w:rsidP="00901DDD">
      <w:pPr>
        <w:jc w:val="both"/>
        <w:rPr>
          <w:b/>
          <w:sz w:val="24"/>
        </w:rPr>
      </w:pPr>
    </w:p>
    <w:p w14:paraId="17B21734" w14:textId="77777777" w:rsidR="00901DDD" w:rsidRDefault="00901DDD" w:rsidP="00901DDD">
      <w:pPr>
        <w:jc w:val="both"/>
        <w:rPr>
          <w:b/>
          <w:sz w:val="24"/>
        </w:rPr>
      </w:pPr>
    </w:p>
    <w:p w14:paraId="2630ECC6" w14:textId="77777777" w:rsidR="00901DDD" w:rsidRDefault="00901DDD" w:rsidP="00901DDD">
      <w:pPr>
        <w:jc w:val="both"/>
        <w:rPr>
          <w:b/>
          <w:sz w:val="24"/>
        </w:rPr>
      </w:pPr>
    </w:p>
    <w:p w14:paraId="3DF83B53" w14:textId="77777777" w:rsidR="00901DDD" w:rsidRDefault="00901DDD" w:rsidP="00901DDD">
      <w:pPr>
        <w:jc w:val="both"/>
        <w:rPr>
          <w:b/>
          <w:sz w:val="24"/>
        </w:rPr>
      </w:pPr>
    </w:p>
    <w:p w14:paraId="7708BF5B" w14:textId="77777777" w:rsidR="00901DDD" w:rsidRDefault="00901DDD" w:rsidP="00901DDD">
      <w:pPr>
        <w:jc w:val="both"/>
        <w:rPr>
          <w:b/>
          <w:sz w:val="24"/>
        </w:rPr>
      </w:pPr>
    </w:p>
    <w:p w14:paraId="25A20EF4" w14:textId="77777777" w:rsidR="00901DDD" w:rsidRDefault="00901DDD" w:rsidP="00901DDD">
      <w:pPr>
        <w:jc w:val="both"/>
        <w:rPr>
          <w:b/>
          <w:sz w:val="24"/>
        </w:rPr>
      </w:pPr>
    </w:p>
    <w:p w14:paraId="55247B15" w14:textId="77777777" w:rsidR="00901DDD" w:rsidRDefault="00901DDD" w:rsidP="00901DDD">
      <w:pPr>
        <w:jc w:val="both"/>
        <w:rPr>
          <w:b/>
          <w:sz w:val="24"/>
        </w:rPr>
      </w:pPr>
    </w:p>
    <w:p w14:paraId="7392C9AA" w14:textId="77777777" w:rsidR="00901DDD" w:rsidRDefault="00901DDD" w:rsidP="00901DDD">
      <w:pPr>
        <w:jc w:val="both"/>
        <w:rPr>
          <w:b/>
          <w:sz w:val="24"/>
        </w:rPr>
      </w:pPr>
    </w:p>
    <w:p w14:paraId="614F7452" w14:textId="77777777" w:rsidR="00901DDD" w:rsidRDefault="00901DDD" w:rsidP="00901DDD">
      <w:pPr>
        <w:jc w:val="both"/>
        <w:rPr>
          <w:b/>
          <w:sz w:val="24"/>
        </w:rPr>
      </w:pPr>
    </w:p>
    <w:p w14:paraId="402E477B" w14:textId="77777777" w:rsidR="00901DDD" w:rsidRDefault="00901DDD" w:rsidP="00901DDD">
      <w:pPr>
        <w:jc w:val="both"/>
        <w:rPr>
          <w:b/>
          <w:sz w:val="24"/>
        </w:rPr>
      </w:pPr>
    </w:p>
    <w:p w14:paraId="4A78FD6B" w14:textId="6D11A18D" w:rsidR="00901DDD" w:rsidRPr="0094274E" w:rsidRDefault="00901DDD" w:rsidP="00901DDD">
      <w:pPr>
        <w:jc w:val="both"/>
        <w:rPr>
          <w:sz w:val="24"/>
        </w:rPr>
      </w:pPr>
      <w:r w:rsidRPr="0094274E">
        <w:rPr>
          <w:b/>
          <w:sz w:val="24"/>
        </w:rPr>
        <w:t xml:space="preserve">1°) </w:t>
      </w:r>
      <w:r>
        <w:rPr>
          <w:b/>
          <w:sz w:val="24"/>
          <w:u w:val="single"/>
        </w:rPr>
        <w:t>Base éligible plancher</w:t>
      </w:r>
      <w:r w:rsidRPr="0094274E">
        <w:rPr>
          <w:b/>
          <w:sz w:val="24"/>
          <w:u w:val="single"/>
        </w:rPr>
        <w:t xml:space="preserve"> à l’I</w:t>
      </w:r>
      <w:r w:rsidR="002632B3">
        <w:rPr>
          <w:b/>
          <w:sz w:val="24"/>
          <w:u w:val="single"/>
        </w:rPr>
        <w:t>S (244 Y</w:t>
      </w:r>
      <w:r>
        <w:rPr>
          <w:b/>
          <w:sz w:val="24"/>
          <w:u w:val="single"/>
        </w:rPr>
        <w:t>)</w:t>
      </w:r>
      <w:r w:rsidRPr="0094274E">
        <w:rPr>
          <w:b/>
          <w:sz w:val="24"/>
        </w:rPr>
        <w:t> :</w:t>
      </w:r>
    </w:p>
    <w:p w14:paraId="1E9ED381" w14:textId="77777777" w:rsidR="00901DDD" w:rsidRDefault="00901DDD" w:rsidP="00901DDD">
      <w:pPr>
        <w:jc w:val="both"/>
        <w:rPr>
          <w:sz w:val="24"/>
        </w:rPr>
      </w:pPr>
    </w:p>
    <w:p w14:paraId="4E24C957" w14:textId="77777777" w:rsidR="00901DDD" w:rsidRDefault="00901DDD" w:rsidP="00901DDD">
      <w:pPr>
        <w:jc w:val="both"/>
        <w:rPr>
          <w:sz w:val="24"/>
        </w:rPr>
      </w:pPr>
    </w:p>
    <w:p w14:paraId="744CE166" w14:textId="77777777" w:rsidR="00901DDD" w:rsidRDefault="00901DDD" w:rsidP="00901DDD">
      <w:pPr>
        <w:jc w:val="both"/>
        <w:rPr>
          <w:sz w:val="24"/>
        </w:rPr>
      </w:pPr>
    </w:p>
    <w:p w14:paraId="446FFB3E" w14:textId="77777777" w:rsidR="00901DDD" w:rsidRDefault="00901DDD" w:rsidP="00901DDD">
      <w:pPr>
        <w:jc w:val="both"/>
        <w:rPr>
          <w:sz w:val="24"/>
        </w:rPr>
      </w:pPr>
    </w:p>
    <w:p w14:paraId="170656AA" w14:textId="77777777" w:rsidR="00901DDD" w:rsidRDefault="00901DDD" w:rsidP="00901DDD">
      <w:pPr>
        <w:jc w:val="both"/>
        <w:rPr>
          <w:sz w:val="24"/>
        </w:rPr>
      </w:pPr>
    </w:p>
    <w:p w14:paraId="693762C4" w14:textId="77777777" w:rsidR="00901DDD" w:rsidRPr="0094274E" w:rsidRDefault="00901DDD" w:rsidP="00901DDD">
      <w:pPr>
        <w:jc w:val="both"/>
        <w:rPr>
          <w:sz w:val="24"/>
        </w:rPr>
      </w:pPr>
    </w:p>
    <w:p w14:paraId="285C7E24" w14:textId="46F48B35" w:rsidR="00C512CC" w:rsidRDefault="00C512CC" w:rsidP="00E212C9">
      <w:pPr>
        <w:jc w:val="center"/>
        <w:rPr>
          <w:rFonts w:asciiTheme="majorHAnsi" w:eastAsiaTheme="majorEastAsia" w:hAnsiTheme="majorHAnsi" w:cstheme="majorBidi"/>
          <w:b/>
          <w:color w:val="17365D" w:themeColor="text2" w:themeShade="BF"/>
          <w:spacing w:val="5"/>
          <w:kern w:val="28"/>
          <w:sz w:val="40"/>
          <w:szCs w:val="52"/>
        </w:rPr>
      </w:pPr>
      <w:r>
        <w:br w:type="page"/>
      </w:r>
    </w:p>
    <w:p w14:paraId="2C1751BC" w14:textId="1963E532" w:rsidR="00E41C9F" w:rsidRPr="00FE66C5" w:rsidRDefault="00E41C9F" w:rsidP="00671995">
      <w:pPr>
        <w:pStyle w:val="Titre1"/>
      </w:pPr>
      <w:bookmarkStart w:id="49" w:name="_Toc145312202"/>
      <w:r w:rsidRPr="00FE66C5">
        <w:lastRenderedPageBreak/>
        <w:t xml:space="preserve">ANNEXE </w:t>
      </w:r>
      <w:r w:rsidR="00E11018">
        <w:t>3</w:t>
      </w:r>
      <w:r w:rsidRPr="00FE66C5">
        <w:t xml:space="preserve"> : </w:t>
      </w:r>
      <w:r w:rsidRPr="00E41C9F">
        <w:t xml:space="preserve">Base éligible plafond pour les opérations visées à l’article 199 </w:t>
      </w:r>
      <w:proofErr w:type="spellStart"/>
      <w:r w:rsidRPr="00E41C9F">
        <w:t>undecies</w:t>
      </w:r>
      <w:proofErr w:type="spellEnd"/>
      <w:r w:rsidRPr="00E41C9F">
        <w:t xml:space="preserve"> C</w:t>
      </w:r>
      <w:bookmarkEnd w:id="49"/>
    </w:p>
    <w:p w14:paraId="15A7541E" w14:textId="77777777" w:rsidR="00E41C9F" w:rsidRDefault="00E41C9F" w:rsidP="00E41C9F">
      <w:pPr>
        <w:jc w:val="both"/>
        <w:rPr>
          <w:sz w:val="24"/>
        </w:rPr>
      </w:pPr>
      <w:r w:rsidRPr="00846003">
        <w:rPr>
          <w:sz w:val="24"/>
        </w:rPr>
        <w:t>La base éligible plafond</w:t>
      </w:r>
      <w:r>
        <w:rPr>
          <w:sz w:val="24"/>
        </w:rPr>
        <w:t xml:space="preserve"> s’entend comme étant le montant de base éligible</w:t>
      </w:r>
      <w:r w:rsidRPr="00846003">
        <w:rPr>
          <w:sz w:val="24"/>
        </w:rPr>
        <w:t xml:space="preserve"> au-delà duquel une procédure d’agrément AMF </w:t>
      </w:r>
      <w:r>
        <w:rPr>
          <w:sz w:val="24"/>
        </w:rPr>
        <w:t>est</w:t>
      </w:r>
      <w:r w:rsidRPr="00846003">
        <w:rPr>
          <w:sz w:val="24"/>
        </w:rPr>
        <w:t xml:space="preserve"> nécessaire</w:t>
      </w:r>
      <w:r>
        <w:rPr>
          <w:sz w:val="24"/>
        </w:rPr>
        <w:t xml:space="preserve">. </w:t>
      </w:r>
    </w:p>
    <w:p w14:paraId="4F52CCED" w14:textId="77777777" w:rsidR="00E41C9F" w:rsidRPr="00E41C9F" w:rsidRDefault="00073DE0" w:rsidP="00E41C9F">
      <w:pPr>
        <w:jc w:val="both"/>
        <w:rPr>
          <w:sz w:val="24"/>
        </w:rPr>
      </w:pPr>
      <w:r>
        <w:rPr>
          <w:sz w:val="24"/>
        </w:rPr>
        <w:t xml:space="preserve">Le détail du calcul permettant d’obtenir cette base éligible plafond devra être explicité et tenir compte de la législation fiscale en vigueur </w:t>
      </w:r>
      <w:r w:rsidR="00095511">
        <w:rPr>
          <w:sz w:val="24"/>
        </w:rPr>
        <w:t>à la date de remise des offres.</w:t>
      </w:r>
    </w:p>
    <w:tbl>
      <w:tblPr>
        <w:tblStyle w:val="Grilledutableau"/>
        <w:tblW w:w="0" w:type="auto"/>
        <w:jc w:val="center"/>
        <w:tblLook w:val="04A0" w:firstRow="1" w:lastRow="0" w:firstColumn="1" w:lastColumn="0" w:noHBand="0" w:noVBand="1"/>
      </w:tblPr>
      <w:tblGrid>
        <w:gridCol w:w="5844"/>
        <w:gridCol w:w="2723"/>
      </w:tblGrid>
      <w:tr w:rsidR="00E41C9F" w14:paraId="71590D23" w14:textId="77777777" w:rsidTr="006829AB">
        <w:trPr>
          <w:trHeight w:val="1604"/>
          <w:jc w:val="center"/>
        </w:trPr>
        <w:tc>
          <w:tcPr>
            <w:tcW w:w="5844" w:type="dxa"/>
            <w:vAlign w:val="center"/>
          </w:tcPr>
          <w:p w14:paraId="368C8B9F" w14:textId="77777777" w:rsidR="00E41C9F" w:rsidRDefault="00E41C9F" w:rsidP="00CD46A6">
            <w:pPr>
              <w:rPr>
                <w:b/>
                <w:sz w:val="28"/>
              </w:rPr>
            </w:pPr>
            <w:r>
              <w:rPr>
                <w:b/>
                <w:sz w:val="28"/>
              </w:rPr>
              <w:t>Base éligible plafond pour les opérations à l’IR</w:t>
            </w:r>
            <w:r w:rsidRPr="00F46592">
              <w:rPr>
                <w:b/>
                <w:sz w:val="28"/>
              </w:rPr>
              <w:t xml:space="preserve"> : </w:t>
            </w:r>
          </w:p>
          <w:p w14:paraId="48D51F57" w14:textId="77777777" w:rsidR="00E41C9F" w:rsidRPr="00F46592" w:rsidRDefault="00E41C9F" w:rsidP="00CD46A6">
            <w:pPr>
              <w:rPr>
                <w:b/>
                <w:sz w:val="28"/>
              </w:rPr>
            </w:pPr>
            <w:r w:rsidRPr="00F46592">
              <w:rPr>
                <w:i/>
                <w:sz w:val="24"/>
              </w:rPr>
              <w:t xml:space="preserve">(opérations visées à l’article 199 </w:t>
            </w:r>
            <w:proofErr w:type="spellStart"/>
            <w:r w:rsidRPr="00F46592">
              <w:rPr>
                <w:i/>
                <w:sz w:val="24"/>
              </w:rPr>
              <w:t>undecies</w:t>
            </w:r>
            <w:proofErr w:type="spellEnd"/>
            <w:r w:rsidRPr="00F46592">
              <w:rPr>
                <w:i/>
                <w:sz w:val="24"/>
              </w:rPr>
              <w:t xml:space="preserve"> C du code général des impôts)</w:t>
            </w:r>
            <w:r w:rsidRPr="00F46592">
              <w:rPr>
                <w:b/>
                <w:sz w:val="24"/>
              </w:rPr>
              <w:t> </w:t>
            </w:r>
          </w:p>
        </w:tc>
        <w:tc>
          <w:tcPr>
            <w:tcW w:w="2723" w:type="dxa"/>
            <w:vAlign w:val="center"/>
          </w:tcPr>
          <w:p w14:paraId="33201882" w14:textId="77777777" w:rsidR="00E41C9F" w:rsidRPr="00F46592" w:rsidRDefault="00E41C9F" w:rsidP="00CD46A6">
            <w:pPr>
              <w:jc w:val="right"/>
              <w:rPr>
                <w:b/>
                <w:sz w:val="52"/>
              </w:rPr>
            </w:pPr>
            <w:r w:rsidRPr="00E41C9F">
              <w:rPr>
                <w:b/>
                <w:sz w:val="32"/>
              </w:rPr>
              <w:t>MF.CFP</w:t>
            </w:r>
          </w:p>
        </w:tc>
      </w:tr>
    </w:tbl>
    <w:p w14:paraId="0059F6B9" w14:textId="77777777" w:rsidR="00E41C9F" w:rsidRDefault="00E41C9F" w:rsidP="00E41C9F">
      <w:pPr>
        <w:jc w:val="both"/>
      </w:pPr>
    </w:p>
    <w:p w14:paraId="165AC631" w14:textId="77777777" w:rsidR="00E41C9F" w:rsidRDefault="00F205A9" w:rsidP="00F205A9">
      <w:pPr>
        <w:jc w:val="center"/>
        <w:rPr>
          <w:rFonts w:asciiTheme="majorHAnsi" w:eastAsiaTheme="majorEastAsia" w:hAnsiTheme="majorHAnsi" w:cstheme="majorBidi"/>
          <w:b/>
          <w:color w:val="17365D" w:themeColor="text2" w:themeShade="BF"/>
          <w:spacing w:val="5"/>
          <w:kern w:val="28"/>
          <w:sz w:val="40"/>
          <w:szCs w:val="52"/>
        </w:rPr>
      </w:pPr>
      <w:r w:rsidRPr="00073DE0">
        <w:rPr>
          <w:rFonts w:asciiTheme="majorHAnsi" w:eastAsiaTheme="majorEastAsia" w:hAnsiTheme="majorHAnsi" w:cstheme="majorBidi"/>
          <w:b/>
          <w:color w:val="17365D" w:themeColor="text2" w:themeShade="BF"/>
          <w:spacing w:val="5"/>
          <w:kern w:val="28"/>
          <w:sz w:val="32"/>
          <w:szCs w:val="52"/>
        </w:rPr>
        <w:t>[</w:t>
      </w:r>
      <w:r>
        <w:rPr>
          <w:rFonts w:asciiTheme="majorHAnsi" w:eastAsiaTheme="majorEastAsia" w:hAnsiTheme="majorHAnsi" w:cstheme="majorBidi"/>
          <w:b/>
          <w:color w:val="17365D" w:themeColor="text2" w:themeShade="BF"/>
          <w:spacing w:val="5"/>
          <w:kern w:val="28"/>
          <w:sz w:val="32"/>
          <w:szCs w:val="52"/>
        </w:rPr>
        <w:t>Détail du calcul fourni par le candidat à intégrer</w:t>
      </w:r>
      <w:r w:rsidRPr="00073DE0">
        <w:rPr>
          <w:rFonts w:asciiTheme="majorHAnsi" w:eastAsiaTheme="majorEastAsia" w:hAnsiTheme="majorHAnsi" w:cstheme="majorBidi"/>
          <w:b/>
          <w:color w:val="17365D" w:themeColor="text2" w:themeShade="BF"/>
          <w:spacing w:val="5"/>
          <w:kern w:val="28"/>
          <w:sz w:val="32"/>
          <w:szCs w:val="52"/>
        </w:rPr>
        <w:t>]</w:t>
      </w:r>
    </w:p>
    <w:p w14:paraId="3371F502" w14:textId="77777777" w:rsidR="00CC54DD" w:rsidRPr="00FE66C5" w:rsidRDefault="00CD46A6" w:rsidP="00671995">
      <w:pPr>
        <w:pStyle w:val="Titre1"/>
      </w:pPr>
      <w:r>
        <w:br w:type="page"/>
      </w:r>
      <w:bookmarkStart w:id="50" w:name="_Toc145312203"/>
      <w:r w:rsidR="00CC54DD" w:rsidRPr="00FE66C5">
        <w:lastRenderedPageBreak/>
        <w:t xml:space="preserve">ANNEXE </w:t>
      </w:r>
      <w:r w:rsidR="00CC54DD">
        <w:t>4</w:t>
      </w:r>
      <w:r w:rsidR="00CC54DD" w:rsidRPr="00FE66C5">
        <w:t xml:space="preserve"> : </w:t>
      </w:r>
      <w:r w:rsidR="00CC54DD">
        <w:t xml:space="preserve">Délai </w:t>
      </w:r>
      <w:r w:rsidR="00A54F47">
        <w:t>maximal</w:t>
      </w:r>
      <w:r w:rsidR="00CC54DD">
        <w:t xml:space="preserve"> de versement de la rétrocession et pénalités de retard</w:t>
      </w:r>
      <w:bookmarkEnd w:id="50"/>
    </w:p>
    <w:p w14:paraId="35D12034" w14:textId="77777777" w:rsidR="00CC54DD" w:rsidRPr="00E41C9F" w:rsidRDefault="00CC54DD" w:rsidP="00CC54DD">
      <w:pPr>
        <w:jc w:val="both"/>
        <w:rPr>
          <w:sz w:val="24"/>
        </w:rPr>
      </w:pPr>
      <w:r>
        <w:rPr>
          <w:sz w:val="24"/>
        </w:rPr>
        <w:t xml:space="preserve">Le délai </w:t>
      </w:r>
      <w:r w:rsidR="00A54F47">
        <w:rPr>
          <w:sz w:val="24"/>
        </w:rPr>
        <w:t>maximal</w:t>
      </w:r>
      <w:r>
        <w:rPr>
          <w:sz w:val="24"/>
        </w:rPr>
        <w:t xml:space="preserve"> de versement de la rétrocession s’entend comme étant le délai décompté à partir de l’obtention de l’accord préalable de la DGFIP au-delà duquel des pénalités seront exigibles</w:t>
      </w:r>
      <w:r w:rsidR="00095511">
        <w:rPr>
          <w:sz w:val="24"/>
        </w:rPr>
        <w:t xml:space="preserve">. </w:t>
      </w:r>
    </w:p>
    <w:tbl>
      <w:tblPr>
        <w:tblStyle w:val="Grilledutableau"/>
        <w:tblW w:w="0" w:type="auto"/>
        <w:jc w:val="center"/>
        <w:tblLook w:val="04A0" w:firstRow="1" w:lastRow="0" w:firstColumn="1" w:lastColumn="0" w:noHBand="0" w:noVBand="1"/>
      </w:tblPr>
      <w:tblGrid>
        <w:gridCol w:w="5985"/>
        <w:gridCol w:w="2582"/>
      </w:tblGrid>
      <w:tr w:rsidR="00CC54DD" w14:paraId="6A371BFB" w14:textId="77777777" w:rsidTr="00CC54DD">
        <w:trPr>
          <w:trHeight w:val="1604"/>
          <w:jc w:val="center"/>
        </w:trPr>
        <w:tc>
          <w:tcPr>
            <w:tcW w:w="5985" w:type="dxa"/>
            <w:vAlign w:val="center"/>
          </w:tcPr>
          <w:p w14:paraId="32CD4C13" w14:textId="77777777" w:rsidR="00CC54DD" w:rsidRPr="00F46592" w:rsidRDefault="00CC54DD" w:rsidP="00171531">
            <w:pPr>
              <w:rPr>
                <w:b/>
                <w:sz w:val="28"/>
              </w:rPr>
            </w:pPr>
            <w:r>
              <w:rPr>
                <w:b/>
                <w:sz w:val="28"/>
              </w:rPr>
              <w:t xml:space="preserve">Délai </w:t>
            </w:r>
            <w:r w:rsidR="00A54F47">
              <w:rPr>
                <w:b/>
                <w:sz w:val="28"/>
              </w:rPr>
              <w:t>maximal</w:t>
            </w:r>
            <w:r>
              <w:rPr>
                <w:b/>
                <w:sz w:val="28"/>
              </w:rPr>
              <w:t xml:space="preserve"> de versement de la rétrocession</w:t>
            </w:r>
            <w:r w:rsidRPr="00F46592">
              <w:rPr>
                <w:b/>
                <w:sz w:val="28"/>
              </w:rPr>
              <w:t xml:space="preserve"> : </w:t>
            </w:r>
          </w:p>
        </w:tc>
        <w:tc>
          <w:tcPr>
            <w:tcW w:w="2582" w:type="dxa"/>
            <w:vAlign w:val="center"/>
          </w:tcPr>
          <w:p w14:paraId="08EC3EEF" w14:textId="77777777" w:rsidR="00CC54DD" w:rsidRPr="00F46592" w:rsidRDefault="00CC54DD" w:rsidP="00171531">
            <w:pPr>
              <w:jc w:val="right"/>
              <w:rPr>
                <w:b/>
                <w:sz w:val="52"/>
              </w:rPr>
            </w:pPr>
            <w:r w:rsidRPr="00CC54DD">
              <w:rPr>
                <w:b/>
                <w:sz w:val="52"/>
              </w:rPr>
              <w:t>mois</w:t>
            </w:r>
          </w:p>
        </w:tc>
      </w:tr>
    </w:tbl>
    <w:p w14:paraId="5F395F1F" w14:textId="77777777" w:rsidR="00CC54DD" w:rsidRDefault="00CC54DD" w:rsidP="00CC54DD">
      <w:pPr>
        <w:jc w:val="both"/>
      </w:pPr>
    </w:p>
    <w:p w14:paraId="37031A87" w14:textId="77777777" w:rsidR="0041568B" w:rsidRDefault="0041568B" w:rsidP="00CC54DD">
      <w:pPr>
        <w:jc w:val="both"/>
      </w:pPr>
    </w:p>
    <w:p w14:paraId="0D1D86F6" w14:textId="77777777" w:rsidR="0041568B" w:rsidRPr="00095511" w:rsidRDefault="00CC54DD" w:rsidP="00CC54DD">
      <w:pPr>
        <w:jc w:val="both"/>
        <w:rPr>
          <w:sz w:val="24"/>
        </w:rPr>
      </w:pPr>
      <w:r w:rsidRPr="004B10CA">
        <w:rPr>
          <w:sz w:val="24"/>
        </w:rPr>
        <w:t>Les pénalités de retard</w:t>
      </w:r>
      <w:r w:rsidR="00095511">
        <w:rPr>
          <w:sz w:val="24"/>
        </w:rPr>
        <w:t>,</w:t>
      </w:r>
      <w:r w:rsidRPr="004B10CA">
        <w:rPr>
          <w:sz w:val="24"/>
        </w:rPr>
        <w:t xml:space="preserve"> </w:t>
      </w:r>
      <w:r w:rsidR="00095511">
        <w:rPr>
          <w:sz w:val="24"/>
        </w:rPr>
        <w:t xml:space="preserve">qui seront accordées au FCH en cas de dépassement du délai </w:t>
      </w:r>
      <w:r w:rsidR="00A54F47">
        <w:rPr>
          <w:sz w:val="24"/>
        </w:rPr>
        <w:t>maximal</w:t>
      </w:r>
      <w:r w:rsidR="00095511">
        <w:rPr>
          <w:sz w:val="24"/>
        </w:rPr>
        <w:t xml:space="preserve"> de versement de la rétrocession mentionné ci-dessus, </w:t>
      </w:r>
      <w:r w:rsidRPr="004B10CA">
        <w:rPr>
          <w:sz w:val="24"/>
        </w:rPr>
        <w:t>se composeront d’une indemnité fixe exprimée en francs pacifiques et d’un taux d’intérêts de retard</w:t>
      </w:r>
      <w:r w:rsidR="0041568B" w:rsidRPr="004B10CA">
        <w:rPr>
          <w:sz w:val="24"/>
        </w:rPr>
        <w:t xml:space="preserve"> exprimé sous forme d’</w:t>
      </w:r>
      <w:r w:rsidR="00095511">
        <w:rPr>
          <w:sz w:val="24"/>
        </w:rPr>
        <w:t>un taux définis</w:t>
      </w:r>
      <w:r w:rsidR="0041568B" w:rsidRPr="004B10CA">
        <w:rPr>
          <w:sz w:val="24"/>
        </w:rPr>
        <w:t>.</w:t>
      </w:r>
    </w:p>
    <w:tbl>
      <w:tblPr>
        <w:tblStyle w:val="Grilledutableau"/>
        <w:tblW w:w="0" w:type="auto"/>
        <w:jc w:val="center"/>
        <w:tblLook w:val="04A0" w:firstRow="1" w:lastRow="0" w:firstColumn="1" w:lastColumn="0" w:noHBand="0" w:noVBand="1"/>
      </w:tblPr>
      <w:tblGrid>
        <w:gridCol w:w="5985"/>
        <w:gridCol w:w="2582"/>
      </w:tblGrid>
      <w:tr w:rsidR="00CC54DD" w14:paraId="70B3BE37" w14:textId="77777777" w:rsidTr="00CC54DD">
        <w:trPr>
          <w:trHeight w:val="1162"/>
          <w:jc w:val="center"/>
        </w:trPr>
        <w:tc>
          <w:tcPr>
            <w:tcW w:w="5985" w:type="dxa"/>
            <w:vAlign w:val="center"/>
          </w:tcPr>
          <w:p w14:paraId="40CF3DA5" w14:textId="77777777" w:rsidR="00CC54DD" w:rsidRPr="00F46592" w:rsidRDefault="00CC54DD" w:rsidP="00171531">
            <w:pPr>
              <w:rPr>
                <w:b/>
                <w:sz w:val="28"/>
              </w:rPr>
            </w:pPr>
            <w:r>
              <w:rPr>
                <w:b/>
                <w:sz w:val="28"/>
              </w:rPr>
              <w:t>Indemnité fixe en cas de versement de la rétrocession au-delà du délai exprimé ci-dessus</w:t>
            </w:r>
            <w:r w:rsidRPr="00F46592">
              <w:rPr>
                <w:b/>
                <w:sz w:val="28"/>
              </w:rPr>
              <w:t xml:space="preserve"> : </w:t>
            </w:r>
          </w:p>
        </w:tc>
        <w:tc>
          <w:tcPr>
            <w:tcW w:w="2582" w:type="dxa"/>
            <w:vAlign w:val="center"/>
          </w:tcPr>
          <w:p w14:paraId="697CB835" w14:textId="77777777" w:rsidR="00CC54DD" w:rsidRPr="00CC54DD" w:rsidRDefault="00CC54DD" w:rsidP="00171531">
            <w:pPr>
              <w:jc w:val="right"/>
              <w:rPr>
                <w:b/>
                <w:sz w:val="52"/>
              </w:rPr>
            </w:pPr>
            <w:r w:rsidRPr="00101236">
              <w:rPr>
                <w:b/>
                <w:sz w:val="32"/>
              </w:rPr>
              <w:t>F.CFP</w:t>
            </w:r>
          </w:p>
        </w:tc>
      </w:tr>
      <w:tr w:rsidR="00CC54DD" w14:paraId="780BA8DD" w14:textId="77777777" w:rsidTr="00CC54DD">
        <w:trPr>
          <w:trHeight w:val="1534"/>
          <w:jc w:val="center"/>
        </w:trPr>
        <w:tc>
          <w:tcPr>
            <w:tcW w:w="5985" w:type="dxa"/>
            <w:vAlign w:val="center"/>
          </w:tcPr>
          <w:p w14:paraId="3A953293" w14:textId="77777777" w:rsidR="00CC54DD" w:rsidRDefault="00CC54DD" w:rsidP="00171531">
            <w:pPr>
              <w:rPr>
                <w:b/>
                <w:sz w:val="28"/>
              </w:rPr>
            </w:pPr>
            <w:r>
              <w:rPr>
                <w:b/>
                <w:sz w:val="28"/>
              </w:rPr>
              <w:t>Taux d’intérêts de retard :</w:t>
            </w:r>
          </w:p>
          <w:p w14:paraId="08C20F24" w14:textId="77777777" w:rsidR="00CC54DD" w:rsidRPr="00CC54DD" w:rsidRDefault="00CC54DD" w:rsidP="00171531">
            <w:pPr>
              <w:rPr>
                <w:i/>
                <w:sz w:val="28"/>
              </w:rPr>
            </w:pPr>
            <w:r w:rsidRPr="00CC54DD">
              <w:rPr>
                <w:i/>
                <w:sz w:val="24"/>
              </w:rPr>
              <w:t>(ce taux devra être fixe, la base de calcul sera le montant de la rétrocession et le retard décompté à partir du premier jour au-delà du délai exprimé ci-dessus)</w:t>
            </w:r>
          </w:p>
        </w:tc>
        <w:tc>
          <w:tcPr>
            <w:tcW w:w="2582" w:type="dxa"/>
            <w:vAlign w:val="center"/>
          </w:tcPr>
          <w:p w14:paraId="17CB9479" w14:textId="77777777" w:rsidR="00CC54DD" w:rsidRPr="00CC54DD" w:rsidRDefault="00CC54DD" w:rsidP="00171531">
            <w:pPr>
              <w:jc w:val="right"/>
              <w:rPr>
                <w:b/>
                <w:sz w:val="52"/>
              </w:rPr>
            </w:pPr>
            <w:r w:rsidRPr="00CC54DD">
              <w:rPr>
                <w:b/>
                <w:sz w:val="52"/>
              </w:rPr>
              <w:t>%</w:t>
            </w:r>
          </w:p>
        </w:tc>
      </w:tr>
    </w:tbl>
    <w:p w14:paraId="725A2E5A" w14:textId="77777777" w:rsidR="00CC54DD" w:rsidRDefault="00CC54DD" w:rsidP="00CC54DD">
      <w:pPr>
        <w:rPr>
          <w:rFonts w:asciiTheme="majorHAnsi" w:eastAsiaTheme="majorEastAsia" w:hAnsiTheme="majorHAnsi" w:cstheme="majorBidi"/>
          <w:b/>
          <w:color w:val="17365D" w:themeColor="text2" w:themeShade="BF"/>
          <w:spacing w:val="5"/>
          <w:kern w:val="28"/>
          <w:sz w:val="40"/>
          <w:szCs w:val="52"/>
        </w:rPr>
      </w:pPr>
    </w:p>
    <w:p w14:paraId="08B12D82" w14:textId="77777777" w:rsidR="00CD46A6" w:rsidRDefault="00CD46A6">
      <w:pPr>
        <w:rPr>
          <w:rFonts w:asciiTheme="majorHAnsi" w:eastAsiaTheme="majorEastAsia" w:hAnsiTheme="majorHAnsi" w:cstheme="majorBidi"/>
          <w:b/>
          <w:color w:val="17365D" w:themeColor="text2" w:themeShade="BF"/>
          <w:spacing w:val="5"/>
          <w:kern w:val="28"/>
          <w:sz w:val="40"/>
          <w:szCs w:val="52"/>
        </w:rPr>
      </w:pPr>
    </w:p>
    <w:p w14:paraId="102B7C9E" w14:textId="77777777" w:rsidR="0041568B" w:rsidRDefault="0041568B">
      <w:pPr>
        <w:rPr>
          <w:rFonts w:asciiTheme="majorHAnsi" w:eastAsiaTheme="majorEastAsia" w:hAnsiTheme="majorHAnsi" w:cstheme="majorBidi"/>
          <w:b/>
          <w:color w:val="17365D" w:themeColor="text2" w:themeShade="BF"/>
          <w:spacing w:val="5"/>
          <w:kern w:val="28"/>
          <w:sz w:val="40"/>
          <w:szCs w:val="52"/>
        </w:rPr>
      </w:pPr>
      <w:r>
        <w:rPr>
          <w:b/>
          <w:sz w:val="40"/>
        </w:rPr>
        <w:br w:type="page"/>
      </w:r>
    </w:p>
    <w:p w14:paraId="6F586933" w14:textId="77777777" w:rsidR="00CD46A6" w:rsidRPr="00FE66C5" w:rsidRDefault="00CD46A6" w:rsidP="00671995">
      <w:pPr>
        <w:pStyle w:val="Titre1"/>
      </w:pPr>
      <w:bookmarkStart w:id="51" w:name="_Toc145312204"/>
      <w:r w:rsidRPr="00FE66C5">
        <w:lastRenderedPageBreak/>
        <w:t xml:space="preserve">ANNEXE </w:t>
      </w:r>
      <w:r w:rsidR="0041568B">
        <w:t>5</w:t>
      </w:r>
      <w:r w:rsidRPr="00FE66C5">
        <w:t xml:space="preserve"> : </w:t>
      </w:r>
      <w:r w:rsidR="001C6B1B">
        <w:t>Mémoire technique</w:t>
      </w:r>
      <w:bookmarkEnd w:id="51"/>
      <w:r w:rsidR="001C6B1B">
        <w:t xml:space="preserve"> </w:t>
      </w:r>
    </w:p>
    <w:p w14:paraId="2DC8C563" w14:textId="77777777" w:rsid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p>
    <w:p w14:paraId="0A49242F" w14:textId="77777777" w:rsidR="00073DE0" w:rsidRPr="00073DE0" w:rsidRDefault="00073DE0" w:rsidP="00073DE0">
      <w:pPr>
        <w:jc w:val="center"/>
        <w:rPr>
          <w:rFonts w:asciiTheme="majorHAnsi" w:eastAsiaTheme="majorEastAsia" w:hAnsiTheme="majorHAnsi" w:cstheme="majorBidi"/>
          <w:b/>
          <w:color w:val="17365D" w:themeColor="text2" w:themeShade="BF"/>
          <w:spacing w:val="5"/>
          <w:kern w:val="28"/>
          <w:sz w:val="32"/>
          <w:szCs w:val="52"/>
        </w:rPr>
      </w:pPr>
      <w:r w:rsidRPr="00073DE0">
        <w:rPr>
          <w:rFonts w:asciiTheme="majorHAnsi" w:eastAsiaTheme="majorEastAsia" w:hAnsiTheme="majorHAnsi" w:cstheme="majorBidi"/>
          <w:b/>
          <w:color w:val="17365D" w:themeColor="text2" w:themeShade="BF"/>
          <w:spacing w:val="5"/>
          <w:kern w:val="28"/>
          <w:sz w:val="32"/>
          <w:szCs w:val="52"/>
        </w:rPr>
        <w:t>[</w:t>
      </w:r>
      <w:r w:rsidR="001C6B1B">
        <w:rPr>
          <w:rFonts w:asciiTheme="majorHAnsi" w:eastAsiaTheme="majorEastAsia" w:hAnsiTheme="majorHAnsi" w:cstheme="majorBidi"/>
          <w:b/>
          <w:color w:val="17365D" w:themeColor="text2" w:themeShade="BF"/>
          <w:spacing w:val="5"/>
          <w:kern w:val="28"/>
          <w:sz w:val="32"/>
          <w:szCs w:val="52"/>
        </w:rPr>
        <w:t>Mémoire technique du candidat</w:t>
      </w:r>
      <w:r w:rsidRPr="00073DE0">
        <w:rPr>
          <w:rFonts w:asciiTheme="majorHAnsi" w:eastAsiaTheme="majorEastAsia" w:hAnsiTheme="majorHAnsi" w:cstheme="majorBidi"/>
          <w:b/>
          <w:color w:val="17365D" w:themeColor="text2" w:themeShade="BF"/>
          <w:spacing w:val="5"/>
          <w:kern w:val="28"/>
          <w:sz w:val="32"/>
          <w:szCs w:val="52"/>
        </w:rPr>
        <w:t xml:space="preserve"> à intégrer]</w:t>
      </w:r>
    </w:p>
    <w:p w14:paraId="32FDE1E9" w14:textId="77777777" w:rsidR="00CD46A6" w:rsidRPr="00F205A9" w:rsidRDefault="00CD46A6">
      <w:pPr>
        <w:rPr>
          <w:rFonts w:cstheme="minorHAnsi"/>
          <w:sz w:val="24"/>
        </w:rPr>
      </w:pPr>
    </w:p>
    <w:p w14:paraId="50D08262" w14:textId="77777777" w:rsidR="001C6B1B" w:rsidRPr="00F205A9" w:rsidRDefault="001C6B1B" w:rsidP="006969B4">
      <w:pPr>
        <w:rPr>
          <w:rFonts w:cstheme="minorHAnsi"/>
          <w:sz w:val="28"/>
          <w:szCs w:val="28"/>
        </w:rPr>
      </w:pPr>
      <w:r w:rsidRPr="00F205A9">
        <w:rPr>
          <w:rFonts w:cstheme="minorHAnsi"/>
          <w:sz w:val="28"/>
          <w:szCs w:val="28"/>
        </w:rPr>
        <w:t>Le mémoire technique comprend :</w:t>
      </w:r>
    </w:p>
    <w:p w14:paraId="6A26C22A" w14:textId="77777777" w:rsidR="001C6B1B" w:rsidRDefault="001C6B1B" w:rsidP="006969B4">
      <w:pPr>
        <w:pStyle w:val="Paragraphedeliste"/>
        <w:numPr>
          <w:ilvl w:val="0"/>
          <w:numId w:val="18"/>
        </w:numPr>
        <w:rPr>
          <w:rFonts w:cstheme="minorHAnsi"/>
          <w:sz w:val="28"/>
          <w:szCs w:val="28"/>
        </w:rPr>
      </w:pPr>
      <w:r w:rsidRPr="00F205A9">
        <w:rPr>
          <w:rFonts w:cstheme="minorHAnsi"/>
          <w:sz w:val="28"/>
          <w:szCs w:val="28"/>
        </w:rPr>
        <w:t>Une notice technique de présentation d’une opération à l’IR et d’une opération à l’IS ;</w:t>
      </w:r>
    </w:p>
    <w:p w14:paraId="6BF3B9EB" w14:textId="77777777" w:rsidR="00B63068" w:rsidRDefault="00B63068" w:rsidP="00B63068">
      <w:pPr>
        <w:pStyle w:val="Paragraphedeliste"/>
        <w:ind w:left="1068"/>
        <w:rPr>
          <w:rFonts w:cstheme="minorHAnsi"/>
          <w:sz w:val="28"/>
          <w:szCs w:val="28"/>
        </w:rPr>
      </w:pPr>
    </w:p>
    <w:p w14:paraId="00306576" w14:textId="77777777" w:rsidR="00B63068" w:rsidRPr="00F205A9" w:rsidRDefault="00B63068" w:rsidP="006969B4">
      <w:pPr>
        <w:pStyle w:val="Paragraphedeliste"/>
        <w:numPr>
          <w:ilvl w:val="0"/>
          <w:numId w:val="18"/>
        </w:numPr>
        <w:rPr>
          <w:rFonts w:cstheme="minorHAnsi"/>
          <w:sz w:val="28"/>
          <w:szCs w:val="28"/>
        </w:rPr>
      </w:pPr>
      <w:r>
        <w:rPr>
          <w:rFonts w:cstheme="minorHAnsi"/>
          <w:sz w:val="28"/>
          <w:szCs w:val="28"/>
        </w:rPr>
        <w:t>La liste des documents à fournir par le FCH pour rédiger la demande d’accord préalable ;</w:t>
      </w:r>
    </w:p>
    <w:p w14:paraId="5BB1015C" w14:textId="77777777" w:rsidR="006969B4" w:rsidRPr="00F205A9" w:rsidRDefault="006969B4" w:rsidP="006969B4">
      <w:pPr>
        <w:pStyle w:val="Paragraphedeliste"/>
        <w:ind w:left="1068"/>
        <w:rPr>
          <w:rFonts w:cstheme="minorHAnsi"/>
          <w:sz w:val="28"/>
          <w:szCs w:val="28"/>
        </w:rPr>
      </w:pPr>
    </w:p>
    <w:p w14:paraId="308E07AE" w14:textId="77777777" w:rsidR="001C6B1B" w:rsidRPr="00F205A9" w:rsidRDefault="001C6B1B" w:rsidP="006969B4">
      <w:pPr>
        <w:pStyle w:val="Paragraphedeliste"/>
        <w:numPr>
          <w:ilvl w:val="0"/>
          <w:numId w:val="18"/>
        </w:numPr>
        <w:rPr>
          <w:rFonts w:cstheme="minorHAnsi"/>
          <w:sz w:val="28"/>
          <w:szCs w:val="28"/>
        </w:rPr>
      </w:pPr>
      <w:r w:rsidRPr="00F205A9">
        <w:rPr>
          <w:rFonts w:cstheme="minorHAnsi"/>
          <w:sz w:val="28"/>
          <w:szCs w:val="28"/>
        </w:rPr>
        <w:t>La documentation juridique du candidat ;</w:t>
      </w:r>
    </w:p>
    <w:p w14:paraId="53C97D98" w14:textId="77777777" w:rsidR="006969B4" w:rsidRPr="00F205A9" w:rsidRDefault="006969B4" w:rsidP="006969B4">
      <w:pPr>
        <w:pStyle w:val="Paragraphedeliste"/>
        <w:ind w:left="1068"/>
        <w:rPr>
          <w:rFonts w:cstheme="minorHAnsi"/>
          <w:sz w:val="28"/>
          <w:szCs w:val="28"/>
        </w:rPr>
      </w:pPr>
    </w:p>
    <w:p w14:paraId="73E412D2" w14:textId="77777777" w:rsidR="006969B4" w:rsidRPr="00F205A9" w:rsidRDefault="001C6B1B" w:rsidP="006969B4">
      <w:pPr>
        <w:pStyle w:val="Paragraphedeliste"/>
        <w:numPr>
          <w:ilvl w:val="0"/>
          <w:numId w:val="18"/>
        </w:numPr>
        <w:rPr>
          <w:rFonts w:cstheme="minorHAnsi"/>
          <w:sz w:val="28"/>
          <w:szCs w:val="28"/>
        </w:rPr>
      </w:pPr>
      <w:r w:rsidRPr="00F205A9">
        <w:rPr>
          <w:rFonts w:cstheme="minorHAnsi"/>
          <w:sz w:val="28"/>
          <w:szCs w:val="28"/>
        </w:rPr>
        <w:t>Une analyse fiscale de</w:t>
      </w:r>
      <w:r w:rsidR="006969B4" w:rsidRPr="00F205A9">
        <w:rPr>
          <w:rFonts w:cstheme="minorHAnsi"/>
          <w:sz w:val="28"/>
          <w:szCs w:val="28"/>
        </w:rPr>
        <w:t>s</w:t>
      </w:r>
      <w:r w:rsidRPr="00F205A9">
        <w:rPr>
          <w:rFonts w:cstheme="minorHAnsi"/>
          <w:sz w:val="28"/>
          <w:szCs w:val="28"/>
        </w:rPr>
        <w:t xml:space="preserve"> </w:t>
      </w:r>
      <w:r w:rsidR="006969B4" w:rsidRPr="00F205A9">
        <w:rPr>
          <w:rFonts w:cstheme="minorHAnsi"/>
          <w:sz w:val="28"/>
          <w:szCs w:val="28"/>
        </w:rPr>
        <w:t>montages envisagés</w:t>
      </w:r>
      <w:r w:rsidRPr="00F205A9">
        <w:rPr>
          <w:rFonts w:cstheme="minorHAnsi"/>
          <w:sz w:val="28"/>
          <w:szCs w:val="28"/>
        </w:rPr>
        <w:t>. </w:t>
      </w:r>
    </w:p>
    <w:p w14:paraId="0FB303FE" w14:textId="77777777" w:rsidR="00073DE0" w:rsidRPr="00F205A9" w:rsidRDefault="00E41C9F" w:rsidP="006969B4">
      <w:pPr>
        <w:pStyle w:val="Titre"/>
        <w:rPr>
          <w:rFonts w:asciiTheme="minorHAnsi" w:hAnsiTheme="minorHAnsi" w:cstheme="minorHAnsi"/>
          <w:b/>
          <w:color w:val="auto"/>
          <w:sz w:val="40"/>
        </w:rPr>
      </w:pPr>
      <w:r w:rsidRPr="00F205A9">
        <w:rPr>
          <w:rFonts w:asciiTheme="minorHAnsi" w:hAnsiTheme="minorHAnsi" w:cstheme="minorHAnsi"/>
          <w:b/>
          <w:color w:val="auto"/>
          <w:sz w:val="22"/>
        </w:rPr>
        <w:br w:type="page"/>
      </w:r>
    </w:p>
    <w:p w14:paraId="61ACEAEF" w14:textId="77777777" w:rsidR="00073DE0" w:rsidRPr="00FE66C5" w:rsidRDefault="00073DE0" w:rsidP="00671995">
      <w:pPr>
        <w:pStyle w:val="Titre1"/>
      </w:pPr>
      <w:bookmarkStart w:id="52" w:name="_Toc145312205"/>
      <w:r w:rsidRPr="00FE66C5">
        <w:lastRenderedPageBreak/>
        <w:t xml:space="preserve">ANNEXE </w:t>
      </w:r>
      <w:r w:rsidR="0041568B">
        <w:t>6</w:t>
      </w:r>
      <w:r w:rsidRPr="00FE66C5">
        <w:t xml:space="preserve"> : </w:t>
      </w:r>
      <w:r w:rsidR="00171531">
        <w:t>D</w:t>
      </w:r>
      <w:r>
        <w:t>ébouclage de l’opération</w:t>
      </w:r>
      <w:r w:rsidR="00171531">
        <w:t xml:space="preserve"> et pénalités de retard</w:t>
      </w:r>
      <w:bookmarkEnd w:id="52"/>
    </w:p>
    <w:p w14:paraId="41BDAD7D" w14:textId="77777777" w:rsidR="003C6EC9" w:rsidRPr="00095511" w:rsidRDefault="003C6EC9" w:rsidP="00095511">
      <w:pPr>
        <w:jc w:val="both"/>
        <w:rPr>
          <w:sz w:val="24"/>
        </w:rPr>
      </w:pPr>
      <w:r w:rsidRPr="003C6EC9">
        <w:rPr>
          <w:sz w:val="24"/>
        </w:rPr>
        <w:t>La rémunération af</w:t>
      </w:r>
      <w:r>
        <w:rPr>
          <w:sz w:val="24"/>
        </w:rPr>
        <w:t>fe</w:t>
      </w:r>
      <w:r w:rsidRPr="003C6EC9">
        <w:rPr>
          <w:sz w:val="24"/>
        </w:rPr>
        <w:t>ctée</w:t>
      </w:r>
      <w:r>
        <w:rPr>
          <w:sz w:val="24"/>
        </w:rPr>
        <w:t xml:space="preserve"> au débouclage de l’opération s’entend comme étant la fraction de la rémunération qui entend rémunérer la phase de débouclage de l’opération telle que décrite à l’article </w:t>
      </w:r>
      <w:r w:rsidR="006408CE">
        <w:rPr>
          <w:sz w:val="24"/>
        </w:rPr>
        <w:t>7</w:t>
      </w:r>
      <w:r>
        <w:rPr>
          <w:sz w:val="24"/>
        </w:rPr>
        <w:t xml:space="preserve"> de l’accord-cadre.</w:t>
      </w:r>
      <w:r w:rsidRPr="003C6EC9">
        <w:rPr>
          <w:sz w:val="24"/>
        </w:rPr>
        <w:t xml:space="preserve"> </w:t>
      </w:r>
      <w:r>
        <w:rPr>
          <w:sz w:val="24"/>
        </w:rPr>
        <w:t>Elle est exprimée en pourcentage de la rémunération globale :</w:t>
      </w:r>
    </w:p>
    <w:tbl>
      <w:tblPr>
        <w:tblStyle w:val="Grilledutableau"/>
        <w:tblW w:w="0" w:type="auto"/>
        <w:jc w:val="center"/>
        <w:tblLook w:val="04A0" w:firstRow="1" w:lastRow="0" w:firstColumn="1" w:lastColumn="0" w:noHBand="0" w:noVBand="1"/>
      </w:tblPr>
      <w:tblGrid>
        <w:gridCol w:w="5985"/>
        <w:gridCol w:w="2582"/>
      </w:tblGrid>
      <w:tr w:rsidR="003C6EC9" w14:paraId="3FCFEC8C" w14:textId="77777777" w:rsidTr="00171531">
        <w:trPr>
          <w:trHeight w:val="1534"/>
          <w:jc w:val="center"/>
        </w:trPr>
        <w:tc>
          <w:tcPr>
            <w:tcW w:w="5985" w:type="dxa"/>
            <w:vAlign w:val="center"/>
          </w:tcPr>
          <w:p w14:paraId="24B56602" w14:textId="77777777" w:rsidR="003C6EC9" w:rsidRPr="00095511" w:rsidRDefault="003C6EC9" w:rsidP="00171531">
            <w:pPr>
              <w:rPr>
                <w:b/>
                <w:sz w:val="28"/>
              </w:rPr>
            </w:pPr>
            <w:r w:rsidRPr="00095511">
              <w:rPr>
                <w:b/>
                <w:sz w:val="28"/>
              </w:rPr>
              <w:t>Rémunération affectée au débouclage de l’opération :</w:t>
            </w:r>
          </w:p>
          <w:p w14:paraId="5E172D25" w14:textId="77777777" w:rsidR="003C6EC9" w:rsidRPr="00095511" w:rsidRDefault="003C6EC9" w:rsidP="00171531">
            <w:pPr>
              <w:rPr>
                <w:i/>
                <w:sz w:val="28"/>
              </w:rPr>
            </w:pPr>
            <w:r w:rsidRPr="00095511">
              <w:rPr>
                <w:i/>
                <w:sz w:val="24"/>
              </w:rPr>
              <w:t>(ce taux correspond au pourcentage de l</w:t>
            </w:r>
            <w:r w:rsidR="00095511" w:rsidRPr="00095511">
              <w:rPr>
                <w:i/>
                <w:sz w:val="24"/>
              </w:rPr>
              <w:t>a rémunération globale qui couvre l’ensemble des prestations devant être réalisées pour déboucler l’opération)</w:t>
            </w:r>
          </w:p>
        </w:tc>
        <w:tc>
          <w:tcPr>
            <w:tcW w:w="2582" w:type="dxa"/>
            <w:vAlign w:val="center"/>
          </w:tcPr>
          <w:p w14:paraId="3A2BDD27" w14:textId="77777777" w:rsidR="003C6EC9" w:rsidRPr="00CC54DD" w:rsidRDefault="003C6EC9" w:rsidP="00171531">
            <w:pPr>
              <w:jc w:val="right"/>
              <w:rPr>
                <w:b/>
                <w:sz w:val="52"/>
              </w:rPr>
            </w:pPr>
            <w:r w:rsidRPr="00095511">
              <w:rPr>
                <w:b/>
                <w:sz w:val="52"/>
              </w:rPr>
              <w:t>%</w:t>
            </w:r>
          </w:p>
        </w:tc>
      </w:tr>
    </w:tbl>
    <w:p w14:paraId="26B2865C" w14:textId="77777777" w:rsidR="003C6EC9" w:rsidRDefault="003C6EC9" w:rsidP="0041568B"/>
    <w:p w14:paraId="29D9468C" w14:textId="77777777" w:rsidR="006B730A" w:rsidRPr="006B730A" w:rsidRDefault="006B730A" w:rsidP="0041568B">
      <w:pPr>
        <w:rPr>
          <w:sz w:val="24"/>
          <w:szCs w:val="24"/>
        </w:rPr>
      </w:pPr>
      <w:r w:rsidRPr="006B730A">
        <w:rPr>
          <w:sz w:val="24"/>
          <w:szCs w:val="24"/>
        </w:rPr>
        <w:t xml:space="preserve">Le candidat s’engage à séquestrer la rémunération affectée au débouclage de l’opération auprès d’un organisme habilité : </w:t>
      </w:r>
    </w:p>
    <w:p w14:paraId="0F743B82" w14:textId="77777777" w:rsidR="006B730A" w:rsidRPr="006B730A" w:rsidRDefault="006B730A" w:rsidP="006B730A">
      <w:pPr>
        <w:jc w:val="center"/>
        <w:rPr>
          <w:sz w:val="28"/>
        </w:rPr>
      </w:pPr>
      <w:r w:rsidRPr="006B730A">
        <w:rPr>
          <w:b/>
          <w:sz w:val="36"/>
        </w:rPr>
        <w:t>oui</w:t>
      </w:r>
      <w:r w:rsidR="00101236">
        <w:rPr>
          <w:sz w:val="28"/>
        </w:rPr>
        <w:t xml:space="preserve"> </w:t>
      </w:r>
      <w:r w:rsidR="006408CE">
        <w:rPr>
          <w:sz w:val="28"/>
        </w:rPr>
        <w:t xml:space="preserve">   </w:t>
      </w:r>
      <w:r>
        <w:rPr>
          <w:sz w:val="28"/>
        </w:rPr>
        <w:t xml:space="preserve"> </w:t>
      </w:r>
      <w:r w:rsidRPr="006B730A">
        <w:rPr>
          <w:sz w:val="28"/>
        </w:rPr>
        <w:sym w:font="Webdings" w:char="F063"/>
      </w:r>
      <w:r w:rsidR="00101236">
        <w:rPr>
          <w:sz w:val="28"/>
        </w:rPr>
        <w:t xml:space="preserve"> </w:t>
      </w:r>
      <w:r w:rsidRPr="006B730A">
        <w:rPr>
          <w:sz w:val="28"/>
        </w:rPr>
        <w:tab/>
      </w:r>
      <w:r w:rsidRPr="006B730A">
        <w:rPr>
          <w:sz w:val="28"/>
        </w:rPr>
        <w:tab/>
      </w:r>
      <w:r w:rsidRPr="006B730A">
        <w:rPr>
          <w:sz w:val="28"/>
        </w:rPr>
        <w:tab/>
      </w:r>
      <w:r w:rsidRPr="006B730A">
        <w:rPr>
          <w:sz w:val="28"/>
        </w:rPr>
        <w:tab/>
      </w:r>
      <w:r w:rsidRPr="006B730A">
        <w:rPr>
          <w:b/>
          <w:sz w:val="36"/>
        </w:rPr>
        <w:t>non</w:t>
      </w:r>
      <w:r w:rsidR="00101236">
        <w:rPr>
          <w:b/>
          <w:sz w:val="36"/>
        </w:rPr>
        <w:t xml:space="preserve"> </w:t>
      </w:r>
      <w:r w:rsidR="006408CE">
        <w:rPr>
          <w:b/>
          <w:sz w:val="36"/>
        </w:rPr>
        <w:t xml:space="preserve">   </w:t>
      </w:r>
      <w:r w:rsidRPr="006B730A">
        <w:rPr>
          <w:sz w:val="28"/>
        </w:rPr>
        <w:sym w:font="Webdings" w:char="F063"/>
      </w:r>
    </w:p>
    <w:p w14:paraId="791BAB1C" w14:textId="406FFC6E" w:rsidR="0041568B" w:rsidRPr="004B10CA" w:rsidRDefault="0041568B" w:rsidP="0041568B">
      <w:pPr>
        <w:jc w:val="both"/>
        <w:rPr>
          <w:sz w:val="24"/>
          <w:highlight w:val="magenta"/>
        </w:rPr>
      </w:pPr>
      <w:r w:rsidRPr="004B10CA">
        <w:rPr>
          <w:sz w:val="24"/>
        </w:rPr>
        <w:t xml:space="preserve">Le délai </w:t>
      </w:r>
      <w:r w:rsidR="00A54F47">
        <w:rPr>
          <w:sz w:val="24"/>
        </w:rPr>
        <w:t>maximal</w:t>
      </w:r>
      <w:r w:rsidRPr="004B10CA">
        <w:rPr>
          <w:sz w:val="24"/>
        </w:rPr>
        <w:t xml:space="preserve"> de </w:t>
      </w:r>
      <w:r w:rsidR="004B10CA" w:rsidRPr="004B10CA">
        <w:rPr>
          <w:sz w:val="24"/>
        </w:rPr>
        <w:t>débouclage de l’opération</w:t>
      </w:r>
      <w:r w:rsidRPr="004B10CA">
        <w:rPr>
          <w:sz w:val="24"/>
        </w:rPr>
        <w:t xml:space="preserve"> s’entend comme étant le délai décompté à partir </w:t>
      </w:r>
      <w:r w:rsidR="003C6EC9">
        <w:rPr>
          <w:sz w:val="24"/>
        </w:rPr>
        <w:t>de la fin de la durée de portage minimum fixée pour les opérat</w:t>
      </w:r>
      <w:r w:rsidR="003C6EC9" w:rsidRPr="003C6EC9">
        <w:rPr>
          <w:sz w:val="24"/>
        </w:rPr>
        <w:t xml:space="preserve">ions visées à l’article 199 </w:t>
      </w:r>
      <w:proofErr w:type="spellStart"/>
      <w:r w:rsidR="003C6EC9" w:rsidRPr="003C6EC9">
        <w:rPr>
          <w:sz w:val="24"/>
        </w:rPr>
        <w:t>undecies</w:t>
      </w:r>
      <w:proofErr w:type="spellEnd"/>
      <w:r w:rsidR="003C6EC9" w:rsidRPr="003C6EC9">
        <w:rPr>
          <w:sz w:val="24"/>
        </w:rPr>
        <w:t xml:space="preserve"> C ou à l’article </w:t>
      </w:r>
      <w:r w:rsidR="00545718">
        <w:rPr>
          <w:sz w:val="24"/>
        </w:rPr>
        <w:t>244 quarter Y</w:t>
      </w:r>
      <w:r w:rsidR="003C6EC9" w:rsidRPr="003C6EC9">
        <w:rPr>
          <w:sz w:val="24"/>
        </w:rPr>
        <w:t xml:space="preserve"> du code général des impôts</w:t>
      </w:r>
      <w:r w:rsidR="00BE709C">
        <w:rPr>
          <w:sz w:val="24"/>
        </w:rPr>
        <w:t xml:space="preserve"> </w:t>
      </w:r>
      <w:r w:rsidRPr="003C6EC9">
        <w:rPr>
          <w:sz w:val="24"/>
        </w:rPr>
        <w:t>au-delà duquel des pénalités seront exigibles.</w:t>
      </w:r>
      <w:r w:rsidR="004B10CA" w:rsidRPr="003C6EC9">
        <w:rPr>
          <w:sz w:val="24"/>
        </w:rPr>
        <w:t xml:space="preserve"> </w:t>
      </w:r>
    </w:p>
    <w:tbl>
      <w:tblPr>
        <w:tblStyle w:val="Grilledutableau"/>
        <w:tblW w:w="0" w:type="auto"/>
        <w:jc w:val="center"/>
        <w:tblLook w:val="04A0" w:firstRow="1" w:lastRow="0" w:firstColumn="1" w:lastColumn="0" w:noHBand="0" w:noVBand="1"/>
      </w:tblPr>
      <w:tblGrid>
        <w:gridCol w:w="5985"/>
        <w:gridCol w:w="2268"/>
      </w:tblGrid>
      <w:tr w:rsidR="0041568B" w:rsidRPr="00095511" w14:paraId="00A6E449" w14:textId="77777777" w:rsidTr="004B10CA">
        <w:trPr>
          <w:trHeight w:val="1604"/>
          <w:jc w:val="center"/>
        </w:trPr>
        <w:tc>
          <w:tcPr>
            <w:tcW w:w="5985" w:type="dxa"/>
            <w:vAlign w:val="center"/>
          </w:tcPr>
          <w:p w14:paraId="35805CEA" w14:textId="77777777" w:rsidR="0041568B" w:rsidRPr="00095511" w:rsidRDefault="0041568B" w:rsidP="004B10CA">
            <w:pPr>
              <w:rPr>
                <w:b/>
                <w:sz w:val="28"/>
              </w:rPr>
            </w:pPr>
            <w:r w:rsidRPr="00095511">
              <w:rPr>
                <w:b/>
                <w:sz w:val="28"/>
              </w:rPr>
              <w:t xml:space="preserve">Délai </w:t>
            </w:r>
            <w:r w:rsidR="00A54F47">
              <w:rPr>
                <w:b/>
                <w:sz w:val="28"/>
              </w:rPr>
              <w:t>maximal</w:t>
            </w:r>
            <w:r w:rsidRPr="00095511">
              <w:rPr>
                <w:b/>
                <w:sz w:val="28"/>
              </w:rPr>
              <w:t xml:space="preserve"> de </w:t>
            </w:r>
            <w:r w:rsidR="004B10CA" w:rsidRPr="00095511">
              <w:rPr>
                <w:b/>
                <w:sz w:val="28"/>
              </w:rPr>
              <w:t>débouclage de l’opération</w:t>
            </w:r>
            <w:r w:rsidRPr="00095511">
              <w:rPr>
                <w:b/>
                <w:sz w:val="28"/>
              </w:rPr>
              <w:t xml:space="preserve"> : </w:t>
            </w:r>
          </w:p>
        </w:tc>
        <w:tc>
          <w:tcPr>
            <w:tcW w:w="2268" w:type="dxa"/>
            <w:vAlign w:val="center"/>
          </w:tcPr>
          <w:p w14:paraId="18794DB5" w14:textId="77777777" w:rsidR="0041568B" w:rsidRPr="00095511" w:rsidRDefault="0041568B" w:rsidP="00171531">
            <w:pPr>
              <w:jc w:val="right"/>
              <w:rPr>
                <w:b/>
                <w:sz w:val="52"/>
              </w:rPr>
            </w:pPr>
            <w:r w:rsidRPr="00095511">
              <w:rPr>
                <w:b/>
                <w:sz w:val="52"/>
              </w:rPr>
              <w:t>mois</w:t>
            </w:r>
          </w:p>
        </w:tc>
      </w:tr>
    </w:tbl>
    <w:p w14:paraId="1D907B98" w14:textId="77777777" w:rsidR="003C6EC9" w:rsidRDefault="003C6EC9" w:rsidP="0041568B">
      <w:pPr>
        <w:jc w:val="both"/>
        <w:rPr>
          <w:highlight w:val="magenta"/>
        </w:rPr>
      </w:pPr>
    </w:p>
    <w:p w14:paraId="4AE23D1A" w14:textId="77777777" w:rsidR="00095511" w:rsidRPr="00095511" w:rsidRDefault="00095511" w:rsidP="00095511">
      <w:pPr>
        <w:jc w:val="both"/>
        <w:rPr>
          <w:sz w:val="24"/>
        </w:rPr>
      </w:pPr>
      <w:r w:rsidRPr="004B10CA">
        <w:rPr>
          <w:sz w:val="24"/>
        </w:rPr>
        <w:t>Les pénalités de retard</w:t>
      </w:r>
      <w:r>
        <w:rPr>
          <w:sz w:val="24"/>
        </w:rPr>
        <w:t>,</w:t>
      </w:r>
      <w:r w:rsidRPr="004B10CA">
        <w:rPr>
          <w:sz w:val="24"/>
        </w:rPr>
        <w:t xml:space="preserve"> </w:t>
      </w:r>
      <w:r>
        <w:rPr>
          <w:sz w:val="24"/>
        </w:rPr>
        <w:t xml:space="preserve">qui seront accordées au FCH en cas de dépassement du délai </w:t>
      </w:r>
      <w:r w:rsidR="00A54F47">
        <w:rPr>
          <w:sz w:val="24"/>
        </w:rPr>
        <w:t>maximal</w:t>
      </w:r>
      <w:r>
        <w:rPr>
          <w:sz w:val="24"/>
        </w:rPr>
        <w:t xml:space="preserve"> de débouclage de l’opération mentionné ci-dessus, </w:t>
      </w:r>
      <w:r w:rsidRPr="004B10CA">
        <w:rPr>
          <w:sz w:val="24"/>
        </w:rPr>
        <w:t xml:space="preserve">se composeront d’une indemnité exprimée </w:t>
      </w:r>
      <w:r>
        <w:rPr>
          <w:sz w:val="24"/>
        </w:rPr>
        <w:t>en fraction de la rémunération affectée au débouclage de l’opération</w:t>
      </w:r>
      <w:r w:rsidRPr="004B10CA">
        <w:rPr>
          <w:sz w:val="24"/>
        </w:rPr>
        <w:t>.</w:t>
      </w:r>
    </w:p>
    <w:tbl>
      <w:tblPr>
        <w:tblStyle w:val="Grilledutableau"/>
        <w:tblW w:w="0" w:type="auto"/>
        <w:jc w:val="center"/>
        <w:tblLook w:val="04A0" w:firstRow="1" w:lastRow="0" w:firstColumn="1" w:lastColumn="0" w:noHBand="0" w:noVBand="1"/>
      </w:tblPr>
      <w:tblGrid>
        <w:gridCol w:w="5985"/>
        <w:gridCol w:w="2582"/>
      </w:tblGrid>
      <w:tr w:rsidR="004B10CA" w14:paraId="28502EBF" w14:textId="77777777" w:rsidTr="00171531">
        <w:trPr>
          <w:trHeight w:val="1534"/>
          <w:jc w:val="center"/>
        </w:trPr>
        <w:tc>
          <w:tcPr>
            <w:tcW w:w="5985" w:type="dxa"/>
            <w:vAlign w:val="center"/>
          </w:tcPr>
          <w:p w14:paraId="644EED57" w14:textId="77777777" w:rsidR="004B10CA" w:rsidRPr="00671995" w:rsidRDefault="00671995" w:rsidP="00671995">
            <w:pPr>
              <w:rPr>
                <w:b/>
                <w:sz w:val="28"/>
              </w:rPr>
            </w:pPr>
            <w:r w:rsidRPr="00671995">
              <w:rPr>
                <w:b/>
                <w:sz w:val="28"/>
              </w:rPr>
              <w:t xml:space="preserve">Part de la rémunération affectée au débouclage de l’opération qui servira d’indemnité en cas de dépassement du délai </w:t>
            </w:r>
            <w:r w:rsidR="00A54F47">
              <w:rPr>
                <w:b/>
                <w:sz w:val="28"/>
              </w:rPr>
              <w:t>maximal</w:t>
            </w:r>
            <w:r w:rsidRPr="00671995">
              <w:rPr>
                <w:b/>
                <w:sz w:val="28"/>
              </w:rPr>
              <w:t xml:space="preserve"> de débouclage de l’opération</w:t>
            </w:r>
            <w:r w:rsidR="004B10CA" w:rsidRPr="00671995">
              <w:rPr>
                <w:b/>
                <w:sz w:val="28"/>
              </w:rPr>
              <w:t> :</w:t>
            </w:r>
          </w:p>
        </w:tc>
        <w:tc>
          <w:tcPr>
            <w:tcW w:w="2582" w:type="dxa"/>
            <w:vAlign w:val="center"/>
          </w:tcPr>
          <w:p w14:paraId="42F41180" w14:textId="77777777" w:rsidR="004B10CA" w:rsidRPr="00671995" w:rsidRDefault="004B10CA" w:rsidP="00171531">
            <w:pPr>
              <w:jc w:val="right"/>
              <w:rPr>
                <w:b/>
                <w:sz w:val="52"/>
              </w:rPr>
            </w:pPr>
            <w:r w:rsidRPr="00671995">
              <w:rPr>
                <w:b/>
                <w:sz w:val="52"/>
              </w:rPr>
              <w:t>%</w:t>
            </w:r>
          </w:p>
        </w:tc>
      </w:tr>
    </w:tbl>
    <w:p w14:paraId="271E27A9" w14:textId="77777777" w:rsidR="00073DE0" w:rsidRDefault="00073DE0" w:rsidP="0041568B"/>
    <w:bookmarkEnd w:id="45"/>
    <w:p w14:paraId="4AE442CE" w14:textId="77777777" w:rsidR="00073DE0" w:rsidRDefault="00073DE0" w:rsidP="0041568B">
      <w:pPr>
        <w:rPr>
          <w:rFonts w:asciiTheme="majorHAnsi" w:eastAsiaTheme="majorEastAsia" w:hAnsiTheme="majorHAnsi" w:cstheme="majorBidi"/>
          <w:b/>
          <w:color w:val="17365D" w:themeColor="text2" w:themeShade="BF"/>
          <w:spacing w:val="5"/>
          <w:kern w:val="28"/>
          <w:sz w:val="40"/>
          <w:szCs w:val="52"/>
        </w:rPr>
      </w:pPr>
    </w:p>
    <w:sectPr w:rsidR="00073DE0" w:rsidSect="00026564">
      <w:footerReference w:type="default" r:id="rId12"/>
      <w:footerReference w:type="first" r:id="rId13"/>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341D7" w14:textId="77777777" w:rsidR="00B01C8D" w:rsidRDefault="00B01C8D" w:rsidP="008B641A">
      <w:pPr>
        <w:spacing w:after="0" w:line="240" w:lineRule="auto"/>
      </w:pPr>
      <w:r>
        <w:separator/>
      </w:r>
    </w:p>
  </w:endnote>
  <w:endnote w:type="continuationSeparator" w:id="0">
    <w:p w14:paraId="6857C9EB" w14:textId="77777777" w:rsidR="00B01C8D" w:rsidRDefault="00B01C8D" w:rsidP="008B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bles">
    <w:altName w:val="Times New Roman"/>
    <w:charset w:val="00"/>
    <w:family w:val="auto"/>
    <w:pitch w:val="variable"/>
    <w:sig w:usb0="00000001" w:usb1="500078F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CB5E" w14:textId="78EA6F73" w:rsidR="00B01C8D" w:rsidRDefault="00B01C8D">
    <w:pPr>
      <w:pStyle w:val="Pieddepage"/>
    </w:pPr>
    <w:r>
      <w:rPr>
        <w:noProof/>
        <w:lang w:eastAsia="fr-FR"/>
      </w:rPr>
      <w:drawing>
        <wp:anchor distT="0" distB="0" distL="114300" distR="114300" simplePos="0" relativeHeight="251658240" behindDoc="0" locked="0" layoutInCell="1" allowOverlap="1" wp14:anchorId="686044B6" wp14:editId="35F2D185">
          <wp:simplePos x="0" y="0"/>
          <wp:positionH relativeFrom="page">
            <wp:posOffset>-95250</wp:posOffset>
          </wp:positionH>
          <wp:positionV relativeFrom="page">
            <wp:posOffset>10096500</wp:posOffset>
          </wp:positionV>
          <wp:extent cx="7648575" cy="6000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930" b="43515"/>
                  <a:stretch/>
                </pic:blipFill>
                <pic:spPr bwMode="auto">
                  <a:xfrm>
                    <a:off x="0" y="0"/>
                    <a:ext cx="764857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A40E" w14:textId="132C0FB0" w:rsidR="00B01C8D" w:rsidRPr="0060715B" w:rsidRDefault="00B01C8D" w:rsidP="006071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A6C7" w14:textId="77777777" w:rsidR="00B01C8D" w:rsidRDefault="00B01C8D" w:rsidP="00630449">
    <w:pPr>
      <w:pStyle w:val="Pieddepage"/>
    </w:pPr>
  </w:p>
  <w:sdt>
    <w:sdtPr>
      <w:id w:val="1093361617"/>
      <w:docPartObj>
        <w:docPartGallery w:val="Page Numbers (Bottom of Page)"/>
        <w:docPartUnique/>
      </w:docPartObj>
    </w:sdtPr>
    <w:sdtEndPr/>
    <w:sdtContent>
      <w:p w14:paraId="4AFEE022" w14:textId="77777777" w:rsidR="00B01C8D" w:rsidRDefault="00B01C8D" w:rsidP="00630449">
        <w:pPr>
          <w:pStyle w:val="Pieddepage"/>
        </w:pPr>
        <w:r>
          <w:rPr>
            <w:noProof/>
            <w:lang w:eastAsia="fr-FR"/>
          </w:rPr>
          <mc:AlternateContent>
            <mc:Choice Requires="wpg">
              <w:drawing>
                <wp:anchor distT="0" distB="0" distL="114300" distR="114300" simplePos="0" relativeHeight="251666432" behindDoc="0" locked="0" layoutInCell="1" allowOverlap="1" wp14:anchorId="2EE948E7" wp14:editId="469E8382">
                  <wp:simplePos x="0" y="0"/>
                  <wp:positionH relativeFrom="margin">
                    <wp:align>center</wp:align>
                  </wp:positionH>
                  <wp:positionV relativeFrom="page">
                    <wp:align>bottom</wp:align>
                  </wp:positionV>
                  <wp:extent cx="436880" cy="716915"/>
                  <wp:effectExtent l="9525" t="9525" r="10795" b="6985"/>
                  <wp:wrapNone/>
                  <wp:docPr id="1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C845384" w14:textId="6F334239" w:rsidR="00B01C8D" w:rsidRPr="008B641A" w:rsidRDefault="00B01C8D" w:rsidP="00630449">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09707E">
                                  <w:rPr>
                                    <w:noProof/>
                                    <w:sz w:val="24"/>
                                    <w:szCs w:val="32"/>
                                  </w:rPr>
                                  <w:t>24</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948E7" id="Groupe 80" o:spid="_x0000_s1026" style="position:absolute;margin-left:0;margin-top:0;width:34.4pt;height:56.45pt;z-index:25166643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UOZwMAACI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noK1DmcD&#10;AAAi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1C845384" w14:textId="6F334239" w:rsidR="00B01C8D" w:rsidRPr="008B641A" w:rsidRDefault="00B01C8D" w:rsidP="00630449">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09707E">
                            <w:rPr>
                              <w:noProof/>
                              <w:sz w:val="24"/>
                              <w:szCs w:val="32"/>
                            </w:rPr>
                            <w:t>24</w:t>
                          </w:r>
                          <w:r w:rsidRPr="008B641A">
                            <w:rPr>
                              <w:sz w:val="24"/>
                              <w:szCs w:val="32"/>
                            </w:rPr>
                            <w:fldChar w:fldCharType="end"/>
                          </w:r>
                        </w:p>
                      </w:txbxContent>
                    </v:textbox>
                  </v:rect>
                  <w10:wrap anchorx="margin" anchory="page"/>
                </v:group>
              </w:pict>
            </mc:Fallback>
          </mc:AlternateContent>
        </w:r>
      </w:p>
    </w:sdtContent>
  </w:sdt>
  <w:p w14:paraId="71AE9F4A" w14:textId="77777777" w:rsidR="00B01C8D" w:rsidRPr="0060715B" w:rsidRDefault="00B01C8D" w:rsidP="006071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A849" w14:textId="77777777" w:rsidR="00B01C8D" w:rsidRDefault="00B01C8D" w:rsidP="0060715B">
    <w:pPr>
      <w:pStyle w:val="Pieddepage"/>
    </w:pPr>
  </w:p>
  <w:sdt>
    <w:sdtPr>
      <w:id w:val="-1983378524"/>
      <w:docPartObj>
        <w:docPartGallery w:val="Page Numbers (Bottom of Page)"/>
        <w:docPartUnique/>
      </w:docPartObj>
    </w:sdtPr>
    <w:sdtEndPr/>
    <w:sdtContent>
      <w:p w14:paraId="296CC28D" w14:textId="77777777" w:rsidR="00B01C8D" w:rsidRDefault="00B01C8D" w:rsidP="0060715B">
        <w:pPr>
          <w:pStyle w:val="Pieddepage"/>
        </w:pPr>
        <w:r>
          <w:rPr>
            <w:noProof/>
            <w:lang w:eastAsia="fr-FR"/>
          </w:rPr>
          <mc:AlternateContent>
            <mc:Choice Requires="wpg">
              <w:drawing>
                <wp:anchor distT="0" distB="0" distL="114300" distR="114300" simplePos="0" relativeHeight="251664384" behindDoc="0" locked="0" layoutInCell="1" allowOverlap="1" wp14:anchorId="23931C9E" wp14:editId="5DBD8CF3">
                  <wp:simplePos x="0" y="0"/>
                  <wp:positionH relativeFrom="margin">
                    <wp:align>center</wp:align>
                  </wp:positionH>
                  <wp:positionV relativeFrom="page">
                    <wp:align>bottom</wp:align>
                  </wp:positionV>
                  <wp:extent cx="436880" cy="716915"/>
                  <wp:effectExtent l="9525" t="9525" r="10795" b="6985"/>
                  <wp:wrapNone/>
                  <wp:docPr id="6"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7DEDDD4" w14:textId="20E90C95" w:rsidR="00B01C8D" w:rsidRPr="008B641A" w:rsidRDefault="00B01C8D" w:rsidP="0060715B">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09707E">
                                  <w:rPr>
                                    <w:noProof/>
                                    <w:sz w:val="24"/>
                                    <w:szCs w:val="32"/>
                                  </w:rPr>
                                  <w:t>4</w:t>
                                </w:r>
                                <w:r w:rsidRPr="008B641A">
                                  <w:rPr>
                                    <w:sz w:val="24"/>
                                    <w:szCs w:val="32"/>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31C9E" id="_x0000_s1029" style="position:absolute;margin-left:0;margin-top:0;width:34.4pt;height:56.45pt;z-index:25166438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Q8agMAACY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Zr2k&#10;PGoDAAAm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77DEDDD4" w14:textId="20E90C95" w:rsidR="00B01C8D" w:rsidRPr="008B641A" w:rsidRDefault="00B01C8D" w:rsidP="0060715B">
                          <w:pPr>
                            <w:pStyle w:val="Pieddepage"/>
                            <w:jc w:val="center"/>
                            <w:rPr>
                              <w:sz w:val="24"/>
                              <w:szCs w:val="32"/>
                            </w:rPr>
                          </w:pPr>
                          <w:r w:rsidRPr="008B641A">
                            <w:rPr>
                              <w:sz w:val="24"/>
                              <w:szCs w:val="32"/>
                            </w:rPr>
                            <w:fldChar w:fldCharType="begin"/>
                          </w:r>
                          <w:r w:rsidRPr="008B641A">
                            <w:rPr>
                              <w:sz w:val="24"/>
                              <w:szCs w:val="32"/>
                            </w:rPr>
                            <w:instrText>PAGE    \* MERGEFORMAT</w:instrText>
                          </w:r>
                          <w:r w:rsidRPr="008B641A">
                            <w:rPr>
                              <w:sz w:val="24"/>
                              <w:szCs w:val="32"/>
                            </w:rPr>
                            <w:fldChar w:fldCharType="separate"/>
                          </w:r>
                          <w:r w:rsidR="0009707E">
                            <w:rPr>
                              <w:noProof/>
                              <w:sz w:val="24"/>
                              <w:szCs w:val="32"/>
                            </w:rPr>
                            <w:t>4</w:t>
                          </w:r>
                          <w:r w:rsidRPr="008B641A">
                            <w:rPr>
                              <w:sz w:val="24"/>
                              <w:szCs w:val="32"/>
                            </w:rPr>
                            <w:fldChar w:fldCharType="end"/>
                          </w:r>
                        </w:p>
                      </w:txbxContent>
                    </v:textbox>
                  </v:rect>
                  <w10:wrap anchorx="margin" anchory="page"/>
                </v:group>
              </w:pict>
            </mc:Fallback>
          </mc:AlternateContent>
        </w:r>
      </w:p>
    </w:sdtContent>
  </w:sdt>
  <w:p w14:paraId="4C706062" w14:textId="77777777" w:rsidR="00B01C8D" w:rsidRDefault="00B01C8D" w:rsidP="0060715B">
    <w:pPr>
      <w:pStyle w:val="Pieddepage"/>
    </w:pPr>
  </w:p>
  <w:p w14:paraId="0E2E5C2F" w14:textId="77777777" w:rsidR="00B01C8D" w:rsidRDefault="00B01C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070E" w14:textId="77777777" w:rsidR="00B01C8D" w:rsidRDefault="00B01C8D" w:rsidP="008B641A">
      <w:pPr>
        <w:spacing w:after="0" w:line="240" w:lineRule="auto"/>
      </w:pPr>
      <w:r>
        <w:separator/>
      </w:r>
    </w:p>
  </w:footnote>
  <w:footnote w:type="continuationSeparator" w:id="0">
    <w:p w14:paraId="1FB83F3C" w14:textId="77777777" w:rsidR="00B01C8D" w:rsidRDefault="00B01C8D" w:rsidP="008B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E70"/>
    <w:multiLevelType w:val="hybridMultilevel"/>
    <w:tmpl w:val="35CC5FF6"/>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B790C"/>
    <w:multiLevelType w:val="hybridMultilevel"/>
    <w:tmpl w:val="474EE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482878"/>
    <w:multiLevelType w:val="hybridMultilevel"/>
    <w:tmpl w:val="72C2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5B03C7"/>
    <w:multiLevelType w:val="hybridMultilevel"/>
    <w:tmpl w:val="B900D474"/>
    <w:lvl w:ilvl="0" w:tplc="3EB8AB74">
      <w:start w:val="1"/>
      <w:numFmt w:val="upperLetter"/>
      <w:pStyle w:val="Titre3"/>
      <w:lvlText w:val="%1."/>
      <w:lvlJc w:val="left"/>
      <w:pPr>
        <w:ind w:left="1428" w:hanging="360"/>
      </w:pPr>
    </w:lvl>
    <w:lvl w:ilvl="1" w:tplc="3FB2FD38">
      <w:start w:val="7"/>
      <w:numFmt w:val="bullet"/>
      <w:lvlText w:val="•"/>
      <w:lvlJc w:val="left"/>
      <w:pPr>
        <w:ind w:left="2148" w:hanging="360"/>
      </w:pPr>
      <w:rPr>
        <w:rFonts w:ascii="Calibri" w:eastAsiaTheme="minorHAnsi" w:hAnsi="Calibri" w:cs="Calibri"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4DA62451"/>
    <w:multiLevelType w:val="hybridMultilevel"/>
    <w:tmpl w:val="B1CA2328"/>
    <w:lvl w:ilvl="0" w:tplc="3F228C2A">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0EA63B1"/>
    <w:multiLevelType w:val="hybridMultilevel"/>
    <w:tmpl w:val="9F4E1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C41A82"/>
    <w:multiLevelType w:val="hybridMultilevel"/>
    <w:tmpl w:val="76E0115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6171646F"/>
    <w:multiLevelType w:val="hybridMultilevel"/>
    <w:tmpl w:val="A3D6EED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FD66FA"/>
    <w:multiLevelType w:val="hybridMultilevel"/>
    <w:tmpl w:val="4282D904"/>
    <w:lvl w:ilvl="0" w:tplc="92F2C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370662"/>
    <w:multiLevelType w:val="hybridMultilevel"/>
    <w:tmpl w:val="F7087400"/>
    <w:lvl w:ilvl="0" w:tplc="B9CC4F2E">
      <w:start w:val="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1025FE"/>
    <w:multiLevelType w:val="hybridMultilevel"/>
    <w:tmpl w:val="3E00F6DA"/>
    <w:lvl w:ilvl="0" w:tplc="B4D037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8C796A"/>
    <w:multiLevelType w:val="hybridMultilevel"/>
    <w:tmpl w:val="AD2C0850"/>
    <w:lvl w:ilvl="0" w:tplc="1FFC6DC2">
      <w:start w:val="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7EB77CBF"/>
    <w:multiLevelType w:val="hybridMultilevel"/>
    <w:tmpl w:val="14E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lvlOverride w:ilvl="0">
      <w:startOverride w:val="1"/>
    </w:lvlOverride>
  </w:num>
  <w:num w:numId="4">
    <w:abstractNumId w:val="3"/>
    <w:lvlOverride w:ilvl="0">
      <w:startOverride w:val="1"/>
    </w:lvlOverride>
  </w:num>
  <w:num w:numId="5">
    <w:abstractNumId w:val="3"/>
  </w:num>
  <w:num w:numId="6">
    <w:abstractNumId w:val="3"/>
    <w:lvlOverride w:ilvl="0">
      <w:startOverride w:val="1"/>
    </w:lvlOverride>
  </w:num>
  <w:num w:numId="7">
    <w:abstractNumId w:val="3"/>
  </w:num>
  <w:num w:numId="8">
    <w:abstractNumId w:val="3"/>
    <w:lvlOverride w:ilvl="0">
      <w:startOverride w:val="1"/>
    </w:lvlOverride>
  </w:num>
  <w:num w:numId="9">
    <w:abstractNumId w:val="1"/>
  </w:num>
  <w:num w:numId="10">
    <w:abstractNumId w:val="8"/>
    <w:lvlOverride w:ilvl="0">
      <w:startOverride w:val="1"/>
    </w:lvlOverride>
  </w:num>
  <w:num w:numId="11">
    <w:abstractNumId w:val="4"/>
  </w:num>
  <w:num w:numId="12">
    <w:abstractNumId w:val="3"/>
    <w:lvlOverride w:ilvl="0">
      <w:startOverride w:val="1"/>
    </w:lvlOverride>
  </w:num>
  <w:num w:numId="13">
    <w:abstractNumId w:val="6"/>
  </w:num>
  <w:num w:numId="14">
    <w:abstractNumId w:val="9"/>
  </w:num>
  <w:num w:numId="15">
    <w:abstractNumId w:val="3"/>
    <w:lvlOverride w:ilvl="0">
      <w:startOverride w:val="1"/>
    </w:lvlOverride>
  </w:num>
  <w:num w:numId="16">
    <w:abstractNumId w:val="11"/>
  </w:num>
  <w:num w:numId="17">
    <w:abstractNumId w:val="0"/>
  </w:num>
  <w:num w:numId="18">
    <w:abstractNumId w:val="7"/>
  </w:num>
  <w:num w:numId="19">
    <w:abstractNumId w:val="5"/>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64"/>
    <w:rsid w:val="00022CC5"/>
    <w:rsid w:val="00024246"/>
    <w:rsid w:val="00026564"/>
    <w:rsid w:val="000425DE"/>
    <w:rsid w:val="00051DE5"/>
    <w:rsid w:val="00062DA1"/>
    <w:rsid w:val="00073DE0"/>
    <w:rsid w:val="00081285"/>
    <w:rsid w:val="00084A8D"/>
    <w:rsid w:val="00091ACB"/>
    <w:rsid w:val="00094EC2"/>
    <w:rsid w:val="00095511"/>
    <w:rsid w:val="00095F4D"/>
    <w:rsid w:val="0009707E"/>
    <w:rsid w:val="000A1373"/>
    <w:rsid w:val="000A56F7"/>
    <w:rsid w:val="000B3358"/>
    <w:rsid w:val="000C0B02"/>
    <w:rsid w:val="000C7CF1"/>
    <w:rsid w:val="000D323C"/>
    <w:rsid w:val="000D4A2E"/>
    <w:rsid w:val="000D6736"/>
    <w:rsid w:val="000F5D9D"/>
    <w:rsid w:val="00101236"/>
    <w:rsid w:val="001117AC"/>
    <w:rsid w:val="00116699"/>
    <w:rsid w:val="00160D65"/>
    <w:rsid w:val="00171531"/>
    <w:rsid w:val="0017732E"/>
    <w:rsid w:val="001774AF"/>
    <w:rsid w:val="001813FA"/>
    <w:rsid w:val="001954DB"/>
    <w:rsid w:val="00196E92"/>
    <w:rsid w:val="001A032E"/>
    <w:rsid w:val="001A1482"/>
    <w:rsid w:val="001A6755"/>
    <w:rsid w:val="001B461A"/>
    <w:rsid w:val="001C6B1B"/>
    <w:rsid w:val="001C7B65"/>
    <w:rsid w:val="001E290D"/>
    <w:rsid w:val="001F5631"/>
    <w:rsid w:val="00206F42"/>
    <w:rsid w:val="00207979"/>
    <w:rsid w:val="00207CB7"/>
    <w:rsid w:val="00213145"/>
    <w:rsid w:val="00232CC5"/>
    <w:rsid w:val="00244998"/>
    <w:rsid w:val="00250EC5"/>
    <w:rsid w:val="002632B3"/>
    <w:rsid w:val="00263C74"/>
    <w:rsid w:val="00280461"/>
    <w:rsid w:val="00282D5A"/>
    <w:rsid w:val="002A5841"/>
    <w:rsid w:val="002C681C"/>
    <w:rsid w:val="002E3C19"/>
    <w:rsid w:val="002F7C4C"/>
    <w:rsid w:val="00334654"/>
    <w:rsid w:val="00352CDD"/>
    <w:rsid w:val="003603F3"/>
    <w:rsid w:val="0039362B"/>
    <w:rsid w:val="00393A15"/>
    <w:rsid w:val="003C3F66"/>
    <w:rsid w:val="003C6EC9"/>
    <w:rsid w:val="003D6A69"/>
    <w:rsid w:val="003D7525"/>
    <w:rsid w:val="003D7A03"/>
    <w:rsid w:val="003E31D7"/>
    <w:rsid w:val="0040558D"/>
    <w:rsid w:val="0041568B"/>
    <w:rsid w:val="00417ECA"/>
    <w:rsid w:val="00422656"/>
    <w:rsid w:val="00427F0D"/>
    <w:rsid w:val="00454A3C"/>
    <w:rsid w:val="004564F6"/>
    <w:rsid w:val="00471410"/>
    <w:rsid w:val="004739D1"/>
    <w:rsid w:val="0047501B"/>
    <w:rsid w:val="00475B61"/>
    <w:rsid w:val="0048125A"/>
    <w:rsid w:val="004859E1"/>
    <w:rsid w:val="00492903"/>
    <w:rsid w:val="004A54CF"/>
    <w:rsid w:val="004A69F7"/>
    <w:rsid w:val="004B10CA"/>
    <w:rsid w:val="004B165C"/>
    <w:rsid w:val="004C28CF"/>
    <w:rsid w:val="004C4A5E"/>
    <w:rsid w:val="004D45E9"/>
    <w:rsid w:val="004F7755"/>
    <w:rsid w:val="00502B55"/>
    <w:rsid w:val="005149A5"/>
    <w:rsid w:val="00521BDF"/>
    <w:rsid w:val="00522CEC"/>
    <w:rsid w:val="00545718"/>
    <w:rsid w:val="00546768"/>
    <w:rsid w:val="0055768B"/>
    <w:rsid w:val="00573085"/>
    <w:rsid w:val="005814E0"/>
    <w:rsid w:val="005852FA"/>
    <w:rsid w:val="00586A1C"/>
    <w:rsid w:val="00597347"/>
    <w:rsid w:val="005B0C86"/>
    <w:rsid w:val="005F09D7"/>
    <w:rsid w:val="005F4D71"/>
    <w:rsid w:val="0060715B"/>
    <w:rsid w:val="006101ED"/>
    <w:rsid w:val="00620DF2"/>
    <w:rsid w:val="00623388"/>
    <w:rsid w:val="00630449"/>
    <w:rsid w:val="006408CE"/>
    <w:rsid w:val="00654255"/>
    <w:rsid w:val="006635F4"/>
    <w:rsid w:val="0067134D"/>
    <w:rsid w:val="00671995"/>
    <w:rsid w:val="00673980"/>
    <w:rsid w:val="006829AB"/>
    <w:rsid w:val="006969B4"/>
    <w:rsid w:val="006B467E"/>
    <w:rsid w:val="006B730A"/>
    <w:rsid w:val="006C51FA"/>
    <w:rsid w:val="006D7DA4"/>
    <w:rsid w:val="006F2848"/>
    <w:rsid w:val="00700203"/>
    <w:rsid w:val="00700F2A"/>
    <w:rsid w:val="007110B3"/>
    <w:rsid w:val="00745E65"/>
    <w:rsid w:val="00746507"/>
    <w:rsid w:val="0075338C"/>
    <w:rsid w:val="007E0C5B"/>
    <w:rsid w:val="007E440A"/>
    <w:rsid w:val="007F4F06"/>
    <w:rsid w:val="00802AFB"/>
    <w:rsid w:val="00810C9D"/>
    <w:rsid w:val="008361D1"/>
    <w:rsid w:val="00861151"/>
    <w:rsid w:val="00864609"/>
    <w:rsid w:val="008763F6"/>
    <w:rsid w:val="00890D5C"/>
    <w:rsid w:val="008A4602"/>
    <w:rsid w:val="008B641A"/>
    <w:rsid w:val="008C6C9C"/>
    <w:rsid w:val="008E0816"/>
    <w:rsid w:val="008F51B5"/>
    <w:rsid w:val="00901DDD"/>
    <w:rsid w:val="00904C62"/>
    <w:rsid w:val="009204DD"/>
    <w:rsid w:val="009358E0"/>
    <w:rsid w:val="009367E7"/>
    <w:rsid w:val="0094274E"/>
    <w:rsid w:val="00943F6D"/>
    <w:rsid w:val="00944134"/>
    <w:rsid w:val="009572F5"/>
    <w:rsid w:val="00975670"/>
    <w:rsid w:val="009801E8"/>
    <w:rsid w:val="0098360C"/>
    <w:rsid w:val="00983CAA"/>
    <w:rsid w:val="00990D34"/>
    <w:rsid w:val="009B55C1"/>
    <w:rsid w:val="009D70FE"/>
    <w:rsid w:val="009E67FC"/>
    <w:rsid w:val="009F4C19"/>
    <w:rsid w:val="00A05364"/>
    <w:rsid w:val="00A11EC6"/>
    <w:rsid w:val="00A16B11"/>
    <w:rsid w:val="00A175D9"/>
    <w:rsid w:val="00A2200C"/>
    <w:rsid w:val="00A2410B"/>
    <w:rsid w:val="00A27F4B"/>
    <w:rsid w:val="00A35A65"/>
    <w:rsid w:val="00A46901"/>
    <w:rsid w:val="00A54F47"/>
    <w:rsid w:val="00A729F3"/>
    <w:rsid w:val="00A73A87"/>
    <w:rsid w:val="00A946C8"/>
    <w:rsid w:val="00AA25B9"/>
    <w:rsid w:val="00AB0C58"/>
    <w:rsid w:val="00AB2E62"/>
    <w:rsid w:val="00AB3648"/>
    <w:rsid w:val="00AB3DD0"/>
    <w:rsid w:val="00AC5290"/>
    <w:rsid w:val="00AE150D"/>
    <w:rsid w:val="00AE7B93"/>
    <w:rsid w:val="00B01435"/>
    <w:rsid w:val="00B01C8D"/>
    <w:rsid w:val="00B02DF6"/>
    <w:rsid w:val="00B07604"/>
    <w:rsid w:val="00B15E23"/>
    <w:rsid w:val="00B51410"/>
    <w:rsid w:val="00B62F45"/>
    <w:rsid w:val="00B63068"/>
    <w:rsid w:val="00B712A0"/>
    <w:rsid w:val="00BA6C8E"/>
    <w:rsid w:val="00BC0266"/>
    <w:rsid w:val="00BD3286"/>
    <w:rsid w:val="00BD52E7"/>
    <w:rsid w:val="00BE709C"/>
    <w:rsid w:val="00BF6764"/>
    <w:rsid w:val="00C00DF0"/>
    <w:rsid w:val="00C07777"/>
    <w:rsid w:val="00C149F3"/>
    <w:rsid w:val="00C37AEE"/>
    <w:rsid w:val="00C46A4F"/>
    <w:rsid w:val="00C512CC"/>
    <w:rsid w:val="00C76F14"/>
    <w:rsid w:val="00C81217"/>
    <w:rsid w:val="00C869B8"/>
    <w:rsid w:val="00C97D3B"/>
    <w:rsid w:val="00CB4BB7"/>
    <w:rsid w:val="00CC54DD"/>
    <w:rsid w:val="00CC7230"/>
    <w:rsid w:val="00CD46A6"/>
    <w:rsid w:val="00CD6F4B"/>
    <w:rsid w:val="00D05757"/>
    <w:rsid w:val="00D126A9"/>
    <w:rsid w:val="00D2060B"/>
    <w:rsid w:val="00D21152"/>
    <w:rsid w:val="00D2435B"/>
    <w:rsid w:val="00D444C8"/>
    <w:rsid w:val="00D4461F"/>
    <w:rsid w:val="00D4553E"/>
    <w:rsid w:val="00D52DBC"/>
    <w:rsid w:val="00D747DB"/>
    <w:rsid w:val="00D85327"/>
    <w:rsid w:val="00DC6813"/>
    <w:rsid w:val="00DD6311"/>
    <w:rsid w:val="00DE14AD"/>
    <w:rsid w:val="00E04EBA"/>
    <w:rsid w:val="00E073A3"/>
    <w:rsid w:val="00E11018"/>
    <w:rsid w:val="00E124B3"/>
    <w:rsid w:val="00E1273F"/>
    <w:rsid w:val="00E212C9"/>
    <w:rsid w:val="00E229F9"/>
    <w:rsid w:val="00E30968"/>
    <w:rsid w:val="00E41C9F"/>
    <w:rsid w:val="00E532ED"/>
    <w:rsid w:val="00E67387"/>
    <w:rsid w:val="00EE03E0"/>
    <w:rsid w:val="00EE521D"/>
    <w:rsid w:val="00EF65CE"/>
    <w:rsid w:val="00F0172F"/>
    <w:rsid w:val="00F14DF4"/>
    <w:rsid w:val="00F205A9"/>
    <w:rsid w:val="00F305D4"/>
    <w:rsid w:val="00F34C64"/>
    <w:rsid w:val="00F37646"/>
    <w:rsid w:val="00F4007B"/>
    <w:rsid w:val="00F46592"/>
    <w:rsid w:val="00F52469"/>
    <w:rsid w:val="00F6421C"/>
    <w:rsid w:val="00F75449"/>
    <w:rsid w:val="00F803F5"/>
    <w:rsid w:val="00F93E44"/>
    <w:rsid w:val="00F95017"/>
    <w:rsid w:val="00FA0387"/>
    <w:rsid w:val="00FA6155"/>
    <w:rsid w:val="00FB77E7"/>
    <w:rsid w:val="00FC5620"/>
    <w:rsid w:val="00FD4C3D"/>
    <w:rsid w:val="00FD7B3E"/>
    <w:rsid w:val="00FE66C5"/>
    <w:rsid w:val="00FF060A"/>
    <w:rsid w:val="00FF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17B402"/>
  <w15:docId w15:val="{9D22407B-33B1-4675-8DEE-20412E44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uiPriority w:val="9"/>
    <w:qFormat/>
    <w:rsid w:val="009801E8"/>
    <w:pPr>
      <w:outlineLvl w:val="0"/>
    </w:pPr>
    <w:rPr>
      <w:b/>
      <w:sz w:val="40"/>
    </w:rPr>
  </w:style>
  <w:style w:type="paragraph" w:styleId="Titre2">
    <w:name w:val="heading 2"/>
    <w:basedOn w:val="Normal"/>
    <w:next w:val="Normal"/>
    <w:link w:val="Titre2Car"/>
    <w:uiPriority w:val="9"/>
    <w:unhideWhenUsed/>
    <w:qFormat/>
    <w:rsid w:val="009801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C869B8"/>
    <w:pPr>
      <w:keepNext w:val="0"/>
      <w:keepLines w:val="0"/>
      <w:numPr>
        <w:numId w:val="7"/>
      </w:numPr>
      <w:spacing w:before="0" w:after="300" w:line="240" w:lineRule="auto"/>
      <w:contextualSpacing/>
      <w:outlineLvl w:val="2"/>
    </w:pPr>
    <w:rPr>
      <w:bCs w:val="0"/>
      <w:color w:val="17365D" w:themeColor="text2" w:themeShade="BF"/>
      <w:spacing w:val="5"/>
      <w:kern w:val="28"/>
      <w:sz w:val="24"/>
      <w:szCs w:val="24"/>
    </w:rPr>
  </w:style>
  <w:style w:type="paragraph" w:styleId="Titre7">
    <w:name w:val="heading 7"/>
    <w:basedOn w:val="Normal"/>
    <w:next w:val="Normal"/>
    <w:link w:val="Titre7Car"/>
    <w:uiPriority w:val="9"/>
    <w:semiHidden/>
    <w:unhideWhenUsed/>
    <w:qFormat/>
    <w:rsid w:val="005814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5814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6764"/>
    <w:rPr>
      <w:rFonts w:ascii="Tahoma" w:hAnsi="Tahoma" w:cs="Tahoma"/>
      <w:sz w:val="16"/>
      <w:szCs w:val="16"/>
    </w:rPr>
  </w:style>
  <w:style w:type="character" w:styleId="Lienhypertexte">
    <w:name w:val="Hyperlink"/>
    <w:basedOn w:val="Policepardfaut"/>
    <w:uiPriority w:val="99"/>
    <w:unhideWhenUsed/>
    <w:rsid w:val="00BF6764"/>
    <w:rPr>
      <w:color w:val="0000FF" w:themeColor="hyperlink"/>
      <w:u w:val="single"/>
    </w:rPr>
  </w:style>
  <w:style w:type="paragraph" w:styleId="Titre">
    <w:name w:val="Title"/>
    <w:basedOn w:val="Normal"/>
    <w:next w:val="Normal"/>
    <w:link w:val="TitreCar"/>
    <w:uiPriority w:val="10"/>
    <w:qFormat/>
    <w:rsid w:val="0051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49A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801E8"/>
    <w:rPr>
      <w:rFonts w:asciiTheme="majorHAnsi" w:eastAsiaTheme="majorEastAsia" w:hAnsiTheme="majorHAnsi" w:cstheme="majorBidi"/>
      <w:b/>
      <w:color w:val="17365D" w:themeColor="text2" w:themeShade="BF"/>
      <w:spacing w:val="5"/>
      <w:kern w:val="28"/>
      <w:sz w:val="40"/>
      <w:szCs w:val="52"/>
    </w:rPr>
  </w:style>
  <w:style w:type="character" w:customStyle="1" w:styleId="Titre7Car">
    <w:name w:val="Titre 7 Car"/>
    <w:basedOn w:val="Policepardfaut"/>
    <w:link w:val="Titre7"/>
    <w:uiPriority w:val="9"/>
    <w:semiHidden/>
    <w:rsid w:val="005814E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5814E0"/>
    <w:rPr>
      <w:rFonts w:asciiTheme="majorHAnsi" w:eastAsiaTheme="majorEastAsia" w:hAnsiTheme="majorHAnsi" w:cstheme="majorBidi"/>
      <w:color w:val="404040" w:themeColor="text1" w:themeTint="BF"/>
      <w:sz w:val="20"/>
      <w:szCs w:val="20"/>
    </w:rPr>
  </w:style>
  <w:style w:type="paragraph" w:styleId="Corpsdetexte2">
    <w:name w:val="Body Text 2"/>
    <w:basedOn w:val="Normal"/>
    <w:link w:val="Corpsdetexte2Car"/>
    <w:rsid w:val="005814E0"/>
    <w:pPr>
      <w:tabs>
        <w:tab w:val="left" w:pos="284"/>
        <w:tab w:val="left" w:pos="709"/>
        <w:tab w:val="center" w:pos="4536"/>
        <w:tab w:val="right" w:pos="8647"/>
      </w:tabs>
      <w:spacing w:after="0" w:line="240" w:lineRule="auto"/>
    </w:pPr>
    <w:rPr>
      <w:rFonts w:ascii="Bookman Old Style" w:eastAsia="Arial Unicode MS" w:hAnsi="Bookman Old Style" w:cs="Arial Unicode MS"/>
      <w:sz w:val="24"/>
      <w:szCs w:val="24"/>
      <w:lang w:eastAsia="fr-FR"/>
    </w:rPr>
  </w:style>
  <w:style w:type="character" w:customStyle="1" w:styleId="Corpsdetexte2Car">
    <w:name w:val="Corps de texte 2 Car"/>
    <w:basedOn w:val="Policepardfaut"/>
    <w:link w:val="Corpsdetexte2"/>
    <w:rsid w:val="005814E0"/>
    <w:rPr>
      <w:rFonts w:ascii="Bookman Old Style" w:eastAsia="Arial Unicode MS" w:hAnsi="Bookman Old Style" w:cs="Arial Unicode MS"/>
      <w:sz w:val="24"/>
      <w:szCs w:val="24"/>
      <w:lang w:eastAsia="fr-FR"/>
    </w:rPr>
  </w:style>
  <w:style w:type="paragraph" w:styleId="Corpsdetexte3">
    <w:name w:val="Body Text 3"/>
    <w:basedOn w:val="Normal"/>
    <w:link w:val="Corpsdetexte3Car"/>
    <w:rsid w:val="005814E0"/>
    <w:pPr>
      <w:tabs>
        <w:tab w:val="left" w:pos="426"/>
        <w:tab w:val="center" w:pos="4536"/>
        <w:tab w:val="right" w:pos="8647"/>
      </w:tabs>
      <w:spacing w:after="0" w:line="240" w:lineRule="auto"/>
    </w:pPr>
    <w:rPr>
      <w:rFonts w:ascii="Bookman Old Style" w:eastAsia="Arial Unicode MS" w:hAnsi="Bookman Old Style" w:cs="Arial Unicode MS"/>
      <w:szCs w:val="24"/>
      <w:lang w:eastAsia="fr-FR"/>
    </w:rPr>
  </w:style>
  <w:style w:type="character" w:customStyle="1" w:styleId="Corpsdetexte3Car">
    <w:name w:val="Corps de texte 3 Car"/>
    <w:basedOn w:val="Policepardfaut"/>
    <w:link w:val="Corpsdetexte3"/>
    <w:rsid w:val="005814E0"/>
    <w:rPr>
      <w:rFonts w:ascii="Bookman Old Style" w:eastAsia="Arial Unicode MS" w:hAnsi="Bookman Old Style" w:cs="Arial Unicode MS"/>
      <w:szCs w:val="24"/>
      <w:lang w:eastAsia="fr-FR"/>
    </w:rPr>
  </w:style>
  <w:style w:type="paragraph" w:styleId="NormalWeb">
    <w:name w:val="Normal (Web)"/>
    <w:basedOn w:val="Normal"/>
    <w:uiPriority w:val="99"/>
    <w:semiHidden/>
    <w:unhideWhenUsed/>
    <w:rsid w:val="00393A1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0558D"/>
    <w:pPr>
      <w:ind w:left="720"/>
      <w:contextualSpacing/>
    </w:pPr>
  </w:style>
  <w:style w:type="paragraph" w:styleId="En-ttedetabledesmatires">
    <w:name w:val="TOC Heading"/>
    <w:basedOn w:val="Titre1"/>
    <w:next w:val="Normal"/>
    <w:uiPriority w:val="39"/>
    <w:unhideWhenUsed/>
    <w:qFormat/>
    <w:rsid w:val="00B07604"/>
    <w:pPr>
      <w:outlineLvl w:val="9"/>
    </w:pPr>
    <w:rPr>
      <w:lang w:eastAsia="fr-FR"/>
    </w:rPr>
  </w:style>
  <w:style w:type="paragraph" w:styleId="TM1">
    <w:name w:val="toc 1"/>
    <w:basedOn w:val="Normal"/>
    <w:next w:val="Normal"/>
    <w:autoRedefine/>
    <w:uiPriority w:val="39"/>
    <w:unhideWhenUsed/>
    <w:qFormat/>
    <w:rsid w:val="00B07604"/>
    <w:pPr>
      <w:spacing w:after="100"/>
    </w:pPr>
  </w:style>
  <w:style w:type="paragraph" w:styleId="TM2">
    <w:name w:val="toc 2"/>
    <w:basedOn w:val="Normal"/>
    <w:next w:val="Normal"/>
    <w:autoRedefine/>
    <w:uiPriority w:val="39"/>
    <w:unhideWhenUsed/>
    <w:qFormat/>
    <w:rsid w:val="00B07604"/>
    <w:pPr>
      <w:spacing w:after="100"/>
      <w:ind w:left="220"/>
    </w:pPr>
    <w:rPr>
      <w:rFonts w:eastAsiaTheme="minorEastAsia"/>
      <w:lang w:eastAsia="fr-FR"/>
    </w:rPr>
  </w:style>
  <w:style w:type="paragraph" w:styleId="TM3">
    <w:name w:val="toc 3"/>
    <w:basedOn w:val="Normal"/>
    <w:next w:val="Normal"/>
    <w:autoRedefine/>
    <w:uiPriority w:val="39"/>
    <w:unhideWhenUsed/>
    <w:qFormat/>
    <w:rsid w:val="00B07604"/>
    <w:pPr>
      <w:spacing w:after="100"/>
      <w:ind w:left="440"/>
    </w:pPr>
    <w:rPr>
      <w:rFonts w:eastAsiaTheme="minorEastAsia"/>
      <w:lang w:eastAsia="fr-FR"/>
    </w:rPr>
  </w:style>
  <w:style w:type="character" w:customStyle="1" w:styleId="Titre2Car">
    <w:name w:val="Titre 2 Car"/>
    <w:basedOn w:val="Policepardfaut"/>
    <w:link w:val="Titre2"/>
    <w:uiPriority w:val="9"/>
    <w:rsid w:val="009801E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869B8"/>
    <w:rPr>
      <w:rFonts w:asciiTheme="majorHAnsi" w:eastAsiaTheme="majorEastAsia" w:hAnsiTheme="majorHAnsi" w:cstheme="majorBidi"/>
      <w:b/>
      <w:color w:val="17365D" w:themeColor="text2" w:themeShade="BF"/>
      <w:spacing w:val="5"/>
      <w:kern w:val="28"/>
      <w:sz w:val="24"/>
      <w:szCs w:val="24"/>
    </w:rPr>
  </w:style>
  <w:style w:type="table" w:styleId="Grilledutableau">
    <w:name w:val="Table Grid"/>
    <w:basedOn w:val="TableauNormal"/>
    <w:uiPriority w:val="59"/>
    <w:rsid w:val="008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641A"/>
    <w:pPr>
      <w:tabs>
        <w:tab w:val="center" w:pos="4536"/>
        <w:tab w:val="right" w:pos="9072"/>
      </w:tabs>
      <w:spacing w:after="0" w:line="240" w:lineRule="auto"/>
    </w:pPr>
  </w:style>
  <w:style w:type="character" w:customStyle="1" w:styleId="En-tteCar">
    <w:name w:val="En-tête Car"/>
    <w:basedOn w:val="Policepardfaut"/>
    <w:link w:val="En-tte"/>
    <w:uiPriority w:val="99"/>
    <w:rsid w:val="008B641A"/>
  </w:style>
  <w:style w:type="paragraph" w:styleId="Pieddepage">
    <w:name w:val="footer"/>
    <w:basedOn w:val="Normal"/>
    <w:link w:val="PieddepageCar"/>
    <w:uiPriority w:val="99"/>
    <w:unhideWhenUsed/>
    <w:rsid w:val="008B6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41A"/>
  </w:style>
  <w:style w:type="character" w:styleId="Marquedecommentaire">
    <w:name w:val="annotation reference"/>
    <w:basedOn w:val="Policepardfaut"/>
    <w:uiPriority w:val="99"/>
    <w:semiHidden/>
    <w:unhideWhenUsed/>
    <w:rsid w:val="00091ACB"/>
    <w:rPr>
      <w:sz w:val="16"/>
      <w:szCs w:val="16"/>
    </w:rPr>
  </w:style>
  <w:style w:type="paragraph" w:styleId="Commentaire">
    <w:name w:val="annotation text"/>
    <w:basedOn w:val="Normal"/>
    <w:link w:val="CommentaireCar"/>
    <w:uiPriority w:val="99"/>
    <w:semiHidden/>
    <w:unhideWhenUsed/>
    <w:rsid w:val="00091ACB"/>
    <w:pPr>
      <w:spacing w:line="240" w:lineRule="auto"/>
    </w:pPr>
    <w:rPr>
      <w:sz w:val="20"/>
      <w:szCs w:val="20"/>
    </w:rPr>
  </w:style>
  <w:style w:type="character" w:customStyle="1" w:styleId="CommentaireCar">
    <w:name w:val="Commentaire Car"/>
    <w:basedOn w:val="Policepardfaut"/>
    <w:link w:val="Commentaire"/>
    <w:uiPriority w:val="99"/>
    <w:semiHidden/>
    <w:rsid w:val="00091ACB"/>
    <w:rPr>
      <w:sz w:val="20"/>
      <w:szCs w:val="20"/>
    </w:rPr>
  </w:style>
  <w:style w:type="paragraph" w:styleId="Objetducommentaire">
    <w:name w:val="annotation subject"/>
    <w:basedOn w:val="Commentaire"/>
    <w:next w:val="Commentaire"/>
    <w:link w:val="ObjetducommentaireCar"/>
    <w:uiPriority w:val="99"/>
    <w:semiHidden/>
    <w:unhideWhenUsed/>
    <w:rsid w:val="00091ACB"/>
    <w:rPr>
      <w:b/>
      <w:bCs/>
    </w:rPr>
  </w:style>
  <w:style w:type="character" w:customStyle="1" w:styleId="ObjetducommentaireCar">
    <w:name w:val="Objet du commentaire Car"/>
    <w:basedOn w:val="CommentaireCar"/>
    <w:link w:val="Objetducommentaire"/>
    <w:uiPriority w:val="99"/>
    <w:semiHidden/>
    <w:rsid w:val="00091A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4259">
      <w:bodyDiv w:val="1"/>
      <w:marLeft w:val="0"/>
      <w:marRight w:val="0"/>
      <w:marTop w:val="0"/>
      <w:marBottom w:val="0"/>
      <w:divBdr>
        <w:top w:val="none" w:sz="0" w:space="0" w:color="auto"/>
        <w:left w:val="none" w:sz="0" w:space="0" w:color="auto"/>
        <w:bottom w:val="none" w:sz="0" w:space="0" w:color="auto"/>
        <w:right w:val="none" w:sz="0" w:space="0" w:color="auto"/>
      </w:divBdr>
    </w:div>
    <w:div w:id="1448769590">
      <w:bodyDiv w:val="1"/>
      <w:marLeft w:val="0"/>
      <w:marRight w:val="0"/>
      <w:marTop w:val="0"/>
      <w:marBottom w:val="0"/>
      <w:divBdr>
        <w:top w:val="none" w:sz="0" w:space="0" w:color="auto"/>
        <w:left w:val="none" w:sz="0" w:space="0" w:color="auto"/>
        <w:bottom w:val="none" w:sz="0" w:space="0" w:color="auto"/>
        <w:right w:val="none" w:sz="0" w:space="0" w:color="auto"/>
      </w:divBdr>
    </w:div>
    <w:div w:id="1695185127">
      <w:bodyDiv w:val="1"/>
      <w:marLeft w:val="0"/>
      <w:marRight w:val="0"/>
      <w:marTop w:val="0"/>
      <w:marBottom w:val="0"/>
      <w:divBdr>
        <w:top w:val="none" w:sz="0" w:space="0" w:color="auto"/>
        <w:left w:val="none" w:sz="0" w:space="0" w:color="auto"/>
        <w:bottom w:val="none" w:sz="0" w:space="0" w:color="auto"/>
        <w:right w:val="none" w:sz="0" w:space="0" w:color="auto"/>
      </w:divBdr>
    </w:div>
    <w:div w:id="19234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stelli@fsh.n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1DCB-6F66-470D-956B-73A647F0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6317</Words>
  <Characters>34747</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NACHIN</dc:creator>
  <cp:keywords/>
  <dc:description/>
  <cp:lastModifiedBy>Céline CASTELLI</cp:lastModifiedBy>
  <cp:revision>20</cp:revision>
  <cp:lastPrinted>2014-10-08T06:08:00Z</cp:lastPrinted>
  <dcterms:created xsi:type="dcterms:W3CDTF">2023-08-20T22:42:00Z</dcterms:created>
  <dcterms:modified xsi:type="dcterms:W3CDTF">2023-09-19T22:57:00Z</dcterms:modified>
</cp:coreProperties>
</file>