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8C96" w14:textId="77777777" w:rsidR="00A729F3" w:rsidRPr="00FE66C5" w:rsidRDefault="00A729F3" w:rsidP="00671995">
      <w:pPr>
        <w:pStyle w:val="Titre1"/>
      </w:pPr>
      <w:bookmarkStart w:id="0" w:name="_Toc400552445"/>
      <w:r w:rsidRPr="00FE66C5">
        <w:t xml:space="preserve">ANNEXE 1 : </w:t>
      </w:r>
      <w:r w:rsidR="00073DE0">
        <w:t>Présentation de l’organisation proposée pour réaliser les prestations relatives aux marchés subséquents</w:t>
      </w:r>
      <w:bookmarkEnd w:id="0"/>
    </w:p>
    <w:p w14:paraId="26393308" w14:textId="77777777" w:rsidR="00073DE0" w:rsidRDefault="00073DE0" w:rsidP="00073DE0">
      <w:pPr>
        <w:pStyle w:val="Paragraphedeliste"/>
        <w:ind w:left="1068"/>
        <w:jc w:val="both"/>
        <w:rPr>
          <w:sz w:val="24"/>
        </w:rPr>
      </w:pPr>
    </w:p>
    <w:p w14:paraId="7B6779E4" w14:textId="77777777" w:rsidR="00A729F3" w:rsidRPr="00073DE0" w:rsidRDefault="00073DE0" w:rsidP="00073DE0">
      <w:pPr>
        <w:jc w:val="center"/>
        <w:rPr>
          <w:rFonts w:asciiTheme="majorHAnsi" w:eastAsiaTheme="majorEastAsia" w:hAnsiTheme="majorHAnsi" w:cstheme="majorBidi"/>
          <w:b/>
          <w:color w:val="17365D" w:themeColor="text2" w:themeShade="BF"/>
          <w:spacing w:val="5"/>
          <w:kern w:val="28"/>
          <w:sz w:val="32"/>
          <w:szCs w:val="52"/>
        </w:rPr>
      </w:pPr>
      <w:r w:rsidRPr="00073DE0">
        <w:rPr>
          <w:rFonts w:asciiTheme="majorHAnsi" w:eastAsiaTheme="majorEastAsia" w:hAnsiTheme="majorHAnsi" w:cstheme="majorBidi"/>
          <w:b/>
          <w:color w:val="17365D" w:themeColor="text2" w:themeShade="BF"/>
          <w:spacing w:val="5"/>
          <w:kern w:val="28"/>
          <w:sz w:val="32"/>
          <w:szCs w:val="52"/>
        </w:rPr>
        <w:t>[Présentation du candidat à intégrer]</w:t>
      </w:r>
    </w:p>
    <w:p w14:paraId="4BBC24AD" w14:textId="77777777" w:rsidR="00073DE0" w:rsidRDefault="00073DE0">
      <w:pPr>
        <w:rPr>
          <w:rFonts w:asciiTheme="majorHAnsi" w:eastAsiaTheme="majorEastAsia" w:hAnsiTheme="majorHAnsi" w:cstheme="majorBidi"/>
          <w:b/>
          <w:color w:val="17365D" w:themeColor="text2" w:themeShade="BF"/>
          <w:spacing w:val="5"/>
          <w:kern w:val="28"/>
          <w:sz w:val="40"/>
          <w:szCs w:val="52"/>
        </w:rPr>
      </w:pPr>
      <w:r>
        <w:rPr>
          <w:b/>
          <w:sz w:val="40"/>
        </w:rPr>
        <w:br w:type="page"/>
      </w:r>
    </w:p>
    <w:p w14:paraId="0BD7DCA3" w14:textId="60869B80" w:rsidR="005814E0" w:rsidRPr="00FE66C5" w:rsidRDefault="005814E0" w:rsidP="00671995">
      <w:pPr>
        <w:pStyle w:val="Titre1"/>
      </w:pPr>
      <w:bookmarkStart w:id="1" w:name="_Toc400552446"/>
      <w:r w:rsidRPr="00FE66C5">
        <w:lastRenderedPageBreak/>
        <w:t xml:space="preserve">ANNEXE </w:t>
      </w:r>
      <w:r w:rsidR="00073DE0">
        <w:t>2</w:t>
      </w:r>
      <w:r w:rsidRPr="00FE66C5">
        <w:t xml:space="preserve"> : </w:t>
      </w:r>
      <w:r w:rsidR="00F46592">
        <w:t>Taux de rétrocession</w:t>
      </w:r>
      <w:r w:rsidR="00E11018">
        <w:t xml:space="preserve"> minimum</w:t>
      </w:r>
      <w:r w:rsidR="00F46592">
        <w:t xml:space="preserve"> </w:t>
      </w:r>
      <w:r w:rsidR="00E11018">
        <w:t>et taux de rémunération maximum</w:t>
      </w:r>
      <w:bookmarkEnd w:id="1"/>
      <w:r w:rsidR="001E326C">
        <w:t>, base éligible plancher</w:t>
      </w:r>
    </w:p>
    <w:p w14:paraId="7338203E" w14:textId="77777777" w:rsidR="00475B61" w:rsidRDefault="00475B61" w:rsidP="00F46592">
      <w:pPr>
        <w:spacing w:after="0"/>
        <w:jc w:val="both"/>
        <w:rPr>
          <w:rFonts w:ascii="tables" w:hAnsi="tables"/>
          <w:sz w:val="24"/>
        </w:rPr>
      </w:pPr>
    </w:p>
    <w:p w14:paraId="4B39F238" w14:textId="1FD9E3F4" w:rsidR="00F46592" w:rsidRDefault="00F46592" w:rsidP="00F46592">
      <w:pPr>
        <w:spacing w:after="0"/>
        <w:jc w:val="both"/>
        <w:rPr>
          <w:sz w:val="24"/>
        </w:rPr>
      </w:pPr>
      <w:r w:rsidRPr="00F46592">
        <w:rPr>
          <w:sz w:val="24"/>
        </w:rPr>
        <w:t xml:space="preserve">Les taux de rétrocession minimum s’entendent comme étant la quote-part </w:t>
      </w:r>
      <w:r w:rsidR="00671995">
        <w:rPr>
          <w:sz w:val="24"/>
        </w:rPr>
        <w:t>de la base éligible qui constitue</w:t>
      </w:r>
      <w:r w:rsidRPr="00F46592">
        <w:rPr>
          <w:sz w:val="24"/>
        </w:rPr>
        <w:t xml:space="preserve"> l’avantage fiscal</w:t>
      </w:r>
      <w:r w:rsidR="00671995">
        <w:rPr>
          <w:sz w:val="24"/>
        </w:rPr>
        <w:t xml:space="preserve"> rétrocédé</w:t>
      </w:r>
      <w:r w:rsidRPr="00F46592">
        <w:rPr>
          <w:sz w:val="24"/>
        </w:rPr>
        <w:t xml:space="preserve"> au FCH dans le cadre tant des opérations visées à l’article 199 </w:t>
      </w:r>
      <w:proofErr w:type="spellStart"/>
      <w:r w:rsidRPr="00F46592">
        <w:rPr>
          <w:sz w:val="24"/>
        </w:rPr>
        <w:t>undecies</w:t>
      </w:r>
      <w:proofErr w:type="spellEnd"/>
      <w:r w:rsidRPr="00F46592">
        <w:rPr>
          <w:sz w:val="24"/>
        </w:rPr>
        <w:t xml:space="preserve"> C que de celles relevant de l’article </w:t>
      </w:r>
      <w:r w:rsidR="001F5308">
        <w:rPr>
          <w:sz w:val="24"/>
        </w:rPr>
        <w:t>244 quarter Y</w:t>
      </w:r>
      <w:r w:rsidRPr="00F46592">
        <w:rPr>
          <w:sz w:val="24"/>
        </w:rPr>
        <w:t xml:space="preserve"> du Code général des impôts. </w:t>
      </w:r>
    </w:p>
    <w:p w14:paraId="090E2663" w14:textId="77777777" w:rsidR="009F4C19" w:rsidRDefault="009F4C19" w:rsidP="00F46592">
      <w:pPr>
        <w:spacing w:after="0"/>
        <w:jc w:val="both"/>
        <w:rPr>
          <w:sz w:val="24"/>
        </w:rPr>
      </w:pPr>
    </w:p>
    <w:p w14:paraId="7EE367D9" w14:textId="17B91CF7" w:rsidR="00CD46A6" w:rsidRPr="009F4C19" w:rsidRDefault="00CD46A6" w:rsidP="00CD46A6">
      <w:pPr>
        <w:spacing w:after="0"/>
        <w:jc w:val="both"/>
        <w:rPr>
          <w:sz w:val="24"/>
        </w:rPr>
      </w:pPr>
      <w:r w:rsidRPr="009F4C19">
        <w:rPr>
          <w:sz w:val="24"/>
        </w:rPr>
        <w:t xml:space="preserve">Ces taux serviront </w:t>
      </w:r>
      <w:r w:rsidR="005776BC" w:rsidRPr="00914F15">
        <w:rPr>
          <w:sz w:val="24"/>
        </w:rPr>
        <w:t>taux planch</w:t>
      </w:r>
      <w:r w:rsidR="006966CF" w:rsidRPr="00914F15">
        <w:rPr>
          <w:sz w:val="24"/>
        </w:rPr>
        <w:t>e</w:t>
      </w:r>
      <w:r w:rsidR="005776BC" w:rsidRPr="00914F15">
        <w:rPr>
          <w:sz w:val="24"/>
        </w:rPr>
        <w:t>r</w:t>
      </w:r>
      <w:r w:rsidRPr="00914F15">
        <w:rPr>
          <w:sz w:val="24"/>
        </w:rPr>
        <w:t xml:space="preserve"> de rétrocession</w:t>
      </w:r>
      <w:r w:rsidRPr="009F4C19">
        <w:rPr>
          <w:sz w:val="24"/>
        </w:rPr>
        <w:t xml:space="preserve"> dans la passation des marchés subséquents pendant toute la durée de l’accord</w:t>
      </w:r>
      <w:r>
        <w:rPr>
          <w:sz w:val="24"/>
        </w:rPr>
        <w:t>-</w:t>
      </w:r>
      <w:r w:rsidRPr="009F4C19">
        <w:rPr>
          <w:sz w:val="24"/>
        </w:rPr>
        <w:t>cadre et dans les conditions de leur remise en concurrence établies par ce dernier.</w:t>
      </w:r>
    </w:p>
    <w:p w14:paraId="7513DF66" w14:textId="77777777" w:rsidR="00475B61" w:rsidRPr="00F46592" w:rsidRDefault="00475B61" w:rsidP="00F46592">
      <w:pPr>
        <w:spacing w:after="0"/>
        <w:jc w:val="both"/>
        <w:rPr>
          <w:sz w:val="24"/>
        </w:rPr>
      </w:pPr>
    </w:p>
    <w:tbl>
      <w:tblPr>
        <w:tblStyle w:val="Grilledutableau"/>
        <w:tblW w:w="0" w:type="auto"/>
        <w:jc w:val="center"/>
        <w:tblLook w:val="04A0" w:firstRow="1" w:lastRow="0" w:firstColumn="1" w:lastColumn="0" w:noHBand="0" w:noVBand="1"/>
      </w:tblPr>
      <w:tblGrid>
        <w:gridCol w:w="5778"/>
        <w:gridCol w:w="2127"/>
      </w:tblGrid>
      <w:tr w:rsidR="00F46592" w14:paraId="4AE6DB39" w14:textId="77777777" w:rsidTr="00E11018">
        <w:trPr>
          <w:trHeight w:val="1269"/>
          <w:jc w:val="center"/>
        </w:trPr>
        <w:tc>
          <w:tcPr>
            <w:tcW w:w="5778" w:type="dxa"/>
            <w:vAlign w:val="center"/>
          </w:tcPr>
          <w:p w14:paraId="166E37BB" w14:textId="77777777" w:rsidR="00F46592" w:rsidRDefault="00F46592" w:rsidP="00F46592">
            <w:pPr>
              <w:rPr>
                <w:b/>
                <w:sz w:val="28"/>
              </w:rPr>
            </w:pPr>
            <w:r w:rsidRPr="00F46592">
              <w:rPr>
                <w:b/>
                <w:sz w:val="28"/>
              </w:rPr>
              <w:t xml:space="preserve">Taux de rétrocession minimum à l’IR : </w:t>
            </w:r>
          </w:p>
          <w:p w14:paraId="1D5CB529" w14:textId="77777777" w:rsidR="00F46592" w:rsidRPr="00F46592" w:rsidRDefault="00F46592" w:rsidP="00F46592">
            <w:pPr>
              <w:rPr>
                <w:b/>
                <w:sz w:val="28"/>
              </w:rPr>
            </w:pPr>
            <w:r w:rsidRPr="00F46592">
              <w:rPr>
                <w:i/>
                <w:sz w:val="24"/>
              </w:rPr>
              <w:t xml:space="preserve">(opérations visées à l’article 199 </w:t>
            </w:r>
            <w:proofErr w:type="spellStart"/>
            <w:r w:rsidRPr="00F46592">
              <w:rPr>
                <w:i/>
                <w:sz w:val="24"/>
              </w:rPr>
              <w:t>undecies</w:t>
            </w:r>
            <w:proofErr w:type="spellEnd"/>
            <w:r w:rsidRPr="00F46592">
              <w:rPr>
                <w:i/>
                <w:sz w:val="24"/>
              </w:rPr>
              <w:t xml:space="preserve"> C du code général des impôts)</w:t>
            </w:r>
            <w:r w:rsidRPr="00F46592">
              <w:rPr>
                <w:b/>
                <w:sz w:val="24"/>
              </w:rPr>
              <w:t> </w:t>
            </w:r>
          </w:p>
        </w:tc>
        <w:tc>
          <w:tcPr>
            <w:tcW w:w="2127" w:type="dxa"/>
            <w:vAlign w:val="center"/>
          </w:tcPr>
          <w:p w14:paraId="089EB087" w14:textId="0D33054D" w:rsidR="00F46592" w:rsidRPr="00F46592" w:rsidRDefault="00F46592" w:rsidP="00F46592">
            <w:pPr>
              <w:jc w:val="right"/>
              <w:rPr>
                <w:b/>
                <w:sz w:val="52"/>
              </w:rPr>
            </w:pPr>
            <w:r w:rsidRPr="00F46592">
              <w:rPr>
                <w:b/>
                <w:sz w:val="52"/>
              </w:rPr>
              <w:t>%</w:t>
            </w:r>
            <w:r w:rsidR="00E11018">
              <w:rPr>
                <w:b/>
                <w:sz w:val="52"/>
              </w:rPr>
              <w:t xml:space="preserve"> </w:t>
            </w:r>
            <w:r w:rsidR="00E11018" w:rsidRPr="00E11018">
              <w:rPr>
                <w:b/>
                <w:sz w:val="24"/>
              </w:rPr>
              <w:t>(1)</w:t>
            </w:r>
          </w:p>
        </w:tc>
      </w:tr>
      <w:tr w:rsidR="00F46592" w14:paraId="11D2780C" w14:textId="77777777" w:rsidTr="00E11018">
        <w:trPr>
          <w:trHeight w:val="1273"/>
          <w:jc w:val="center"/>
        </w:trPr>
        <w:tc>
          <w:tcPr>
            <w:tcW w:w="5778" w:type="dxa"/>
            <w:vAlign w:val="center"/>
          </w:tcPr>
          <w:p w14:paraId="1574EBAE" w14:textId="77777777" w:rsidR="00F46592" w:rsidRDefault="00F46592" w:rsidP="00F46592">
            <w:pPr>
              <w:rPr>
                <w:i/>
                <w:sz w:val="28"/>
              </w:rPr>
            </w:pPr>
            <w:r w:rsidRPr="00F46592">
              <w:rPr>
                <w:b/>
                <w:sz w:val="28"/>
              </w:rPr>
              <w:t>Taux de rétrocession minimum à l’IS :</w:t>
            </w:r>
            <w:r w:rsidRPr="00F46592">
              <w:rPr>
                <w:i/>
                <w:sz w:val="28"/>
              </w:rPr>
              <w:t xml:space="preserve"> </w:t>
            </w:r>
          </w:p>
          <w:p w14:paraId="4182411C" w14:textId="19020479" w:rsidR="00F46592" w:rsidRPr="00F46592" w:rsidRDefault="00F46592" w:rsidP="00F46592">
            <w:pPr>
              <w:rPr>
                <w:b/>
                <w:sz w:val="28"/>
              </w:rPr>
            </w:pPr>
            <w:r w:rsidRPr="00F46592">
              <w:rPr>
                <w:i/>
                <w:sz w:val="24"/>
              </w:rPr>
              <w:t xml:space="preserve">(opérations visées à l’article </w:t>
            </w:r>
            <w:r w:rsidR="001F5308">
              <w:rPr>
                <w:i/>
                <w:sz w:val="24"/>
              </w:rPr>
              <w:t>244 quarter Y</w:t>
            </w:r>
            <w:r w:rsidRPr="00F46592">
              <w:rPr>
                <w:i/>
                <w:sz w:val="24"/>
              </w:rPr>
              <w:t xml:space="preserve"> du code général des impôts)</w:t>
            </w:r>
          </w:p>
        </w:tc>
        <w:tc>
          <w:tcPr>
            <w:tcW w:w="2127" w:type="dxa"/>
            <w:vAlign w:val="center"/>
          </w:tcPr>
          <w:p w14:paraId="3D08B347" w14:textId="584D72CA" w:rsidR="00F46592" w:rsidRPr="00F46592" w:rsidRDefault="00F46592" w:rsidP="00C512CC">
            <w:pPr>
              <w:jc w:val="right"/>
              <w:rPr>
                <w:b/>
                <w:sz w:val="52"/>
              </w:rPr>
            </w:pPr>
            <w:r w:rsidRPr="00F46592">
              <w:rPr>
                <w:b/>
                <w:sz w:val="52"/>
              </w:rPr>
              <w:t>%</w:t>
            </w:r>
            <w:r w:rsidR="00E11018">
              <w:rPr>
                <w:b/>
                <w:sz w:val="52"/>
              </w:rPr>
              <w:t xml:space="preserve"> </w:t>
            </w:r>
            <w:r w:rsidR="00E11018" w:rsidRPr="00E11018">
              <w:rPr>
                <w:b/>
                <w:sz w:val="24"/>
              </w:rPr>
              <w:t>(</w:t>
            </w:r>
            <w:r w:rsidR="00C512CC">
              <w:rPr>
                <w:b/>
                <w:sz w:val="24"/>
              </w:rPr>
              <w:t>1</w:t>
            </w:r>
            <w:r w:rsidR="00E11018" w:rsidRPr="00E11018">
              <w:rPr>
                <w:b/>
                <w:sz w:val="24"/>
              </w:rPr>
              <w:t>)</w:t>
            </w:r>
          </w:p>
        </w:tc>
      </w:tr>
    </w:tbl>
    <w:p w14:paraId="79A8547D" w14:textId="02F25A07" w:rsidR="00C512CC" w:rsidRPr="00C512CC" w:rsidRDefault="00C512CC" w:rsidP="00C512CC">
      <w:pPr>
        <w:jc w:val="both"/>
        <w:rPr>
          <w:b/>
          <w:i/>
          <w:sz w:val="24"/>
        </w:rPr>
      </w:pPr>
      <w:r>
        <w:rPr>
          <w:b/>
          <w:i/>
          <w:sz w:val="24"/>
        </w:rPr>
        <w:br/>
      </w:r>
      <w:r w:rsidRPr="00C512CC">
        <w:rPr>
          <w:b/>
          <w:i/>
          <w:sz w:val="24"/>
        </w:rPr>
        <w:t xml:space="preserve"> (1) Les hypothèses retenues et </w:t>
      </w:r>
      <w:r w:rsidR="00206F42">
        <w:rPr>
          <w:b/>
          <w:i/>
          <w:sz w:val="24"/>
        </w:rPr>
        <w:t xml:space="preserve">le </w:t>
      </w:r>
      <w:r w:rsidRPr="00C512CC">
        <w:rPr>
          <w:b/>
          <w:i/>
          <w:sz w:val="24"/>
        </w:rPr>
        <w:t>détail des calculs déterminant les taux de rétrocession minimum devront être précisément explicités</w:t>
      </w:r>
      <w:r>
        <w:rPr>
          <w:b/>
          <w:i/>
          <w:sz w:val="24"/>
        </w:rPr>
        <w:t xml:space="preserve"> dans la deuxième partie de la présente annexe</w:t>
      </w:r>
      <w:r w:rsidRPr="00C512CC">
        <w:rPr>
          <w:b/>
          <w:i/>
          <w:sz w:val="24"/>
        </w:rPr>
        <w:t>.</w:t>
      </w:r>
      <w:r w:rsidRPr="00C512CC">
        <w:t xml:space="preserve"> </w:t>
      </w:r>
      <w:r w:rsidRPr="00C512CC">
        <w:rPr>
          <w:b/>
          <w:i/>
        </w:rPr>
        <w:t>(</w:t>
      </w:r>
      <w:r w:rsidRPr="00C512CC">
        <w:rPr>
          <w:b/>
          <w:sz w:val="24"/>
        </w:rPr>
        <w:t>ANNEXE 2 : Taux de rétrocession minimum et taux de rémunération maximum (suite)</w:t>
      </w:r>
      <w:r>
        <w:rPr>
          <w:b/>
          <w:i/>
          <w:sz w:val="24"/>
        </w:rPr>
        <w:t>)</w:t>
      </w:r>
    </w:p>
    <w:p w14:paraId="00B2CC71" w14:textId="77777777" w:rsidR="003C6EC9" w:rsidRPr="0041568B" w:rsidRDefault="003C6EC9" w:rsidP="003C6EC9">
      <w:pPr>
        <w:spacing w:after="0"/>
        <w:jc w:val="both"/>
        <w:rPr>
          <w:sz w:val="24"/>
        </w:rPr>
      </w:pPr>
      <w:r w:rsidRPr="0041568B">
        <w:rPr>
          <w:sz w:val="24"/>
        </w:rPr>
        <w:t xml:space="preserve">Les </w:t>
      </w:r>
      <w:r w:rsidR="006B730A">
        <w:rPr>
          <w:sz w:val="24"/>
        </w:rPr>
        <w:t xml:space="preserve">taux de rémunération maximum </w:t>
      </w:r>
      <w:r w:rsidRPr="0041568B">
        <w:rPr>
          <w:sz w:val="24"/>
        </w:rPr>
        <w:t xml:space="preserve">s’entendent comme étant la quote-part de </w:t>
      </w:r>
      <w:r w:rsidR="00671995">
        <w:rPr>
          <w:sz w:val="24"/>
        </w:rPr>
        <w:t xml:space="preserve">de la base éligible qui constitue </w:t>
      </w:r>
      <w:r w:rsidRPr="0041568B">
        <w:rPr>
          <w:sz w:val="24"/>
        </w:rPr>
        <w:t xml:space="preserve">l’avantage fiscal conservée par le titulaire de l’accord-cadre afin de couvrir l’ensemble des interventions et des prestations réalisées par le titulaire ou ses prestataires en vue de l’atteinte des résultats objet du présent accord cadre. </w:t>
      </w:r>
    </w:p>
    <w:p w14:paraId="6659C0B3" w14:textId="77777777" w:rsidR="003C6EC9" w:rsidRPr="00F46592" w:rsidRDefault="003C6EC9" w:rsidP="003C6EC9">
      <w:pPr>
        <w:spacing w:after="0"/>
        <w:jc w:val="both"/>
        <w:rPr>
          <w:sz w:val="24"/>
        </w:rPr>
      </w:pPr>
    </w:p>
    <w:tbl>
      <w:tblPr>
        <w:tblStyle w:val="Grilledutableau"/>
        <w:tblW w:w="0" w:type="auto"/>
        <w:jc w:val="center"/>
        <w:tblLook w:val="04A0" w:firstRow="1" w:lastRow="0" w:firstColumn="1" w:lastColumn="0" w:noHBand="0" w:noVBand="1"/>
      </w:tblPr>
      <w:tblGrid>
        <w:gridCol w:w="5778"/>
        <w:gridCol w:w="2127"/>
      </w:tblGrid>
      <w:tr w:rsidR="003C6EC9" w14:paraId="2FEEDAE3" w14:textId="77777777" w:rsidTr="00E11018">
        <w:trPr>
          <w:trHeight w:val="1309"/>
          <w:jc w:val="center"/>
        </w:trPr>
        <w:tc>
          <w:tcPr>
            <w:tcW w:w="5778" w:type="dxa"/>
            <w:vAlign w:val="center"/>
          </w:tcPr>
          <w:p w14:paraId="1C426EF8" w14:textId="77777777" w:rsidR="003C6EC9" w:rsidRDefault="006B730A" w:rsidP="00171531">
            <w:pPr>
              <w:rPr>
                <w:b/>
                <w:sz w:val="28"/>
              </w:rPr>
            </w:pPr>
            <w:r>
              <w:rPr>
                <w:b/>
                <w:sz w:val="28"/>
              </w:rPr>
              <w:t xml:space="preserve">Taux de rémunération maximum </w:t>
            </w:r>
            <w:r w:rsidR="003C6EC9" w:rsidRPr="00F46592">
              <w:rPr>
                <w:b/>
                <w:sz w:val="28"/>
              </w:rPr>
              <w:t xml:space="preserve">à l’IR : </w:t>
            </w:r>
          </w:p>
          <w:p w14:paraId="3BA7DA2A" w14:textId="77777777" w:rsidR="003C6EC9" w:rsidRPr="001C6B1B" w:rsidRDefault="003C6EC9" w:rsidP="00171531">
            <w:pPr>
              <w:rPr>
                <w:b/>
                <w:sz w:val="24"/>
              </w:rPr>
            </w:pPr>
            <w:r w:rsidRPr="00F46592">
              <w:rPr>
                <w:i/>
                <w:sz w:val="24"/>
              </w:rPr>
              <w:t xml:space="preserve">(opérations visées à l’article 199 </w:t>
            </w:r>
            <w:proofErr w:type="spellStart"/>
            <w:r w:rsidRPr="00F46592">
              <w:rPr>
                <w:i/>
                <w:sz w:val="24"/>
              </w:rPr>
              <w:t>undecies</w:t>
            </w:r>
            <w:proofErr w:type="spellEnd"/>
            <w:r w:rsidRPr="00F46592">
              <w:rPr>
                <w:i/>
                <w:sz w:val="24"/>
              </w:rPr>
              <w:t xml:space="preserve"> C du code général des impôts)</w:t>
            </w:r>
            <w:r w:rsidRPr="00F46592">
              <w:rPr>
                <w:b/>
                <w:sz w:val="24"/>
              </w:rPr>
              <w:t> </w:t>
            </w:r>
          </w:p>
        </w:tc>
        <w:tc>
          <w:tcPr>
            <w:tcW w:w="2127" w:type="dxa"/>
            <w:vAlign w:val="center"/>
          </w:tcPr>
          <w:p w14:paraId="31694E55" w14:textId="77777777" w:rsidR="003C6EC9" w:rsidRPr="00F46592" w:rsidRDefault="003C6EC9" w:rsidP="00171531">
            <w:pPr>
              <w:jc w:val="right"/>
              <w:rPr>
                <w:b/>
                <w:sz w:val="52"/>
              </w:rPr>
            </w:pPr>
            <w:r w:rsidRPr="00F46592">
              <w:rPr>
                <w:b/>
                <w:sz w:val="52"/>
              </w:rPr>
              <w:t>%</w:t>
            </w:r>
          </w:p>
        </w:tc>
      </w:tr>
      <w:tr w:rsidR="003C6EC9" w14:paraId="6D1C3EF7" w14:textId="77777777" w:rsidTr="00E11018">
        <w:trPr>
          <w:trHeight w:val="1285"/>
          <w:jc w:val="center"/>
        </w:trPr>
        <w:tc>
          <w:tcPr>
            <w:tcW w:w="5778" w:type="dxa"/>
            <w:vAlign w:val="center"/>
          </w:tcPr>
          <w:p w14:paraId="794FFF4B" w14:textId="77777777" w:rsidR="003C6EC9" w:rsidRDefault="006B730A" w:rsidP="00171531">
            <w:pPr>
              <w:rPr>
                <w:i/>
                <w:sz w:val="28"/>
              </w:rPr>
            </w:pPr>
            <w:r>
              <w:rPr>
                <w:b/>
                <w:sz w:val="28"/>
              </w:rPr>
              <w:t xml:space="preserve">Taux de rémunération maximum </w:t>
            </w:r>
            <w:r w:rsidR="003C6EC9" w:rsidRPr="00F46592">
              <w:rPr>
                <w:b/>
                <w:sz w:val="28"/>
              </w:rPr>
              <w:t>à l’IS :</w:t>
            </w:r>
            <w:r w:rsidR="003C6EC9" w:rsidRPr="00F46592">
              <w:rPr>
                <w:i/>
                <w:sz w:val="28"/>
              </w:rPr>
              <w:t xml:space="preserve"> </w:t>
            </w:r>
          </w:p>
          <w:p w14:paraId="0D01CF5E" w14:textId="25F647CC" w:rsidR="003C6EC9" w:rsidRPr="00F46592" w:rsidRDefault="003C6EC9" w:rsidP="00171531">
            <w:pPr>
              <w:rPr>
                <w:b/>
                <w:sz w:val="28"/>
              </w:rPr>
            </w:pPr>
            <w:r w:rsidRPr="00F46592">
              <w:rPr>
                <w:i/>
                <w:sz w:val="24"/>
              </w:rPr>
              <w:t xml:space="preserve">(opérations visées à l’article </w:t>
            </w:r>
            <w:r w:rsidR="001F5308">
              <w:rPr>
                <w:i/>
                <w:sz w:val="24"/>
              </w:rPr>
              <w:t>244 quarter Y</w:t>
            </w:r>
            <w:r w:rsidRPr="00F46592">
              <w:rPr>
                <w:i/>
                <w:sz w:val="24"/>
              </w:rPr>
              <w:t xml:space="preserve"> du code général des impôts)</w:t>
            </w:r>
          </w:p>
        </w:tc>
        <w:tc>
          <w:tcPr>
            <w:tcW w:w="2127" w:type="dxa"/>
            <w:vAlign w:val="center"/>
          </w:tcPr>
          <w:p w14:paraId="197D0B03" w14:textId="77777777" w:rsidR="003C6EC9" w:rsidRPr="00F46592" w:rsidRDefault="003C6EC9" w:rsidP="00171531">
            <w:pPr>
              <w:jc w:val="right"/>
              <w:rPr>
                <w:b/>
                <w:sz w:val="52"/>
              </w:rPr>
            </w:pPr>
            <w:r w:rsidRPr="00F46592">
              <w:rPr>
                <w:b/>
                <w:sz w:val="52"/>
              </w:rPr>
              <w:t>%</w:t>
            </w:r>
          </w:p>
        </w:tc>
      </w:tr>
    </w:tbl>
    <w:p w14:paraId="39FE0C03" w14:textId="0DFB88F8" w:rsidR="00C512CC" w:rsidRPr="00FE66C5" w:rsidRDefault="001E326C" w:rsidP="001E326C">
      <w:pPr>
        <w:pStyle w:val="Titre1"/>
      </w:pPr>
      <w:bookmarkStart w:id="2" w:name="_Toc400552447"/>
      <w:bookmarkStart w:id="3" w:name="_Toc394406859"/>
      <w:r w:rsidRPr="00FE66C5">
        <w:lastRenderedPageBreak/>
        <w:t xml:space="preserve">ANNEXE </w:t>
      </w:r>
      <w:r>
        <w:t>2</w:t>
      </w:r>
      <w:r w:rsidRPr="00FE66C5">
        <w:t xml:space="preserve"> : </w:t>
      </w:r>
      <w:r>
        <w:t xml:space="preserve">Taux de rétrocession minimum et taux de rémunération maximum, base éligible plancher </w:t>
      </w:r>
      <w:r w:rsidR="00C512CC">
        <w:t>(suite)</w:t>
      </w:r>
      <w:bookmarkEnd w:id="2"/>
    </w:p>
    <w:p w14:paraId="453EF5BC" w14:textId="357628DF" w:rsidR="001E326C" w:rsidRPr="00700203" w:rsidRDefault="001E326C" w:rsidP="001E326C">
      <w:pPr>
        <w:jc w:val="both"/>
        <w:rPr>
          <w:sz w:val="23"/>
          <w:szCs w:val="23"/>
        </w:rPr>
      </w:pPr>
      <w:r w:rsidRPr="00700203">
        <w:rPr>
          <w:sz w:val="23"/>
          <w:szCs w:val="23"/>
        </w:rPr>
        <w:t xml:space="preserve">Le candidat précisera les modalités permettant de déterminer le taux de rétrocession minimum proposé à </w:t>
      </w:r>
      <w:r>
        <w:rPr>
          <w:sz w:val="23"/>
          <w:szCs w:val="23"/>
        </w:rPr>
        <w:t xml:space="preserve">l’IR et à </w:t>
      </w:r>
      <w:r w:rsidRPr="00700203">
        <w:rPr>
          <w:sz w:val="23"/>
          <w:szCs w:val="23"/>
        </w:rPr>
        <w:t>l’IS. Il précisera également l’ensemble des hypothèses retenues (tranche d’imposition marginale de l’investisseur, taux de rétrocession consenti par l’investisseur, taux d’actualisation …) et les mécanismes fiscaux envisagés pour optimiser l’opération pour chacune des parties (moins-value de cession, intérêts déductibles, imputation des déficits, abandon de créance …).</w:t>
      </w:r>
    </w:p>
    <w:p w14:paraId="7CC30C4E" w14:textId="77777777" w:rsidR="001E326C" w:rsidRDefault="001E326C" w:rsidP="00C512CC">
      <w:pPr>
        <w:jc w:val="both"/>
        <w:rPr>
          <w:b/>
          <w:sz w:val="24"/>
        </w:rPr>
      </w:pPr>
    </w:p>
    <w:p w14:paraId="0B3EE9BE" w14:textId="0AE48B5C" w:rsidR="00C512CC" w:rsidRPr="0094274E" w:rsidRDefault="00C512CC" w:rsidP="00C512CC">
      <w:pPr>
        <w:jc w:val="both"/>
        <w:rPr>
          <w:sz w:val="24"/>
        </w:rPr>
      </w:pPr>
      <w:r w:rsidRPr="0094274E">
        <w:rPr>
          <w:b/>
          <w:sz w:val="24"/>
        </w:rPr>
        <w:t xml:space="preserve">1°) </w:t>
      </w:r>
      <w:r w:rsidRPr="0094274E">
        <w:rPr>
          <w:b/>
          <w:sz w:val="24"/>
          <w:u w:val="single"/>
        </w:rPr>
        <w:t>Hypothèses retenues et détail des calculs déterminant les taux de rétrocession minimum à l’IR</w:t>
      </w:r>
      <w:r w:rsidR="006F2848">
        <w:rPr>
          <w:b/>
          <w:sz w:val="24"/>
          <w:u w:val="single"/>
        </w:rPr>
        <w:t xml:space="preserve"> (199 C)</w:t>
      </w:r>
      <w:r w:rsidRPr="0094274E">
        <w:rPr>
          <w:b/>
          <w:sz w:val="24"/>
        </w:rPr>
        <w:t> :</w:t>
      </w:r>
    </w:p>
    <w:p w14:paraId="62FA858C" w14:textId="6223A6E2" w:rsidR="002E3C19" w:rsidRPr="00700203" w:rsidRDefault="002E3C19" w:rsidP="002E3C19">
      <w:pPr>
        <w:jc w:val="both"/>
        <w:rPr>
          <w:sz w:val="23"/>
          <w:szCs w:val="23"/>
        </w:rPr>
      </w:pPr>
      <w:r w:rsidRPr="00700203">
        <w:rPr>
          <w:sz w:val="23"/>
          <w:szCs w:val="23"/>
        </w:rPr>
        <w:t>Sur la base de l’exemple théorique ci-dessous</w:t>
      </w:r>
      <w:r w:rsidR="000C0B02" w:rsidRPr="00700203">
        <w:rPr>
          <w:sz w:val="23"/>
          <w:szCs w:val="23"/>
        </w:rPr>
        <w:t>,</w:t>
      </w:r>
      <w:r w:rsidRPr="00700203">
        <w:rPr>
          <w:sz w:val="23"/>
          <w:szCs w:val="23"/>
        </w:rPr>
        <w:t xml:space="preserve"> le candidat</w:t>
      </w:r>
      <w:r w:rsidR="000C0B02" w:rsidRPr="00700203">
        <w:rPr>
          <w:sz w:val="23"/>
          <w:szCs w:val="23"/>
        </w:rPr>
        <w:t xml:space="preserve"> </w:t>
      </w:r>
      <w:r w:rsidR="0094274E" w:rsidRPr="00700203">
        <w:rPr>
          <w:sz w:val="23"/>
          <w:szCs w:val="23"/>
        </w:rPr>
        <w:t>effectuera</w:t>
      </w:r>
      <w:r w:rsidRPr="00700203">
        <w:rPr>
          <w:sz w:val="23"/>
          <w:szCs w:val="23"/>
        </w:rPr>
        <w:t xml:space="preserve"> </w:t>
      </w:r>
      <w:r w:rsidR="0094274E" w:rsidRPr="00700203">
        <w:rPr>
          <w:sz w:val="23"/>
          <w:szCs w:val="23"/>
        </w:rPr>
        <w:t>et explicitera le</w:t>
      </w:r>
      <w:r w:rsidR="000C0B02" w:rsidRPr="00700203">
        <w:rPr>
          <w:sz w:val="23"/>
          <w:szCs w:val="23"/>
        </w:rPr>
        <w:t xml:space="preserve"> calcul</w:t>
      </w:r>
      <w:r w:rsidRPr="00700203">
        <w:rPr>
          <w:sz w:val="23"/>
          <w:szCs w:val="23"/>
        </w:rPr>
        <w:t xml:space="preserve"> </w:t>
      </w:r>
      <w:r w:rsidR="0094274E" w:rsidRPr="00700203">
        <w:rPr>
          <w:sz w:val="23"/>
          <w:szCs w:val="23"/>
        </w:rPr>
        <w:t>permettant de déterminer</w:t>
      </w:r>
      <w:r w:rsidR="004C28CF" w:rsidRPr="00700203">
        <w:rPr>
          <w:sz w:val="23"/>
          <w:szCs w:val="23"/>
        </w:rPr>
        <w:t xml:space="preserve"> </w:t>
      </w:r>
      <w:r w:rsidRPr="00700203">
        <w:rPr>
          <w:sz w:val="23"/>
          <w:szCs w:val="23"/>
        </w:rPr>
        <w:t>le gain fiscal pour l’investisseur, la rémunération du candidat et la rétrocession nette pour le FCH.</w:t>
      </w:r>
      <w:r w:rsidR="0094274E" w:rsidRPr="00700203">
        <w:rPr>
          <w:sz w:val="23"/>
          <w:szCs w:val="23"/>
        </w:rPr>
        <w:t xml:space="preserve"> </w:t>
      </w:r>
    </w:p>
    <w:tbl>
      <w:tblPr>
        <w:tblStyle w:val="Grilledutableau"/>
        <w:tblW w:w="0" w:type="auto"/>
        <w:jc w:val="center"/>
        <w:tblLook w:val="04A0" w:firstRow="1" w:lastRow="0" w:firstColumn="1" w:lastColumn="0" w:noHBand="0" w:noVBand="1"/>
      </w:tblPr>
      <w:tblGrid>
        <w:gridCol w:w="3260"/>
        <w:gridCol w:w="1647"/>
      </w:tblGrid>
      <w:tr w:rsidR="002E3C19" w:rsidRPr="00F46592" w14:paraId="168A7540" w14:textId="77777777" w:rsidTr="002E3C19">
        <w:trPr>
          <w:trHeight w:val="447"/>
          <w:jc w:val="center"/>
        </w:trPr>
        <w:tc>
          <w:tcPr>
            <w:tcW w:w="3260" w:type="dxa"/>
            <w:vAlign w:val="center"/>
          </w:tcPr>
          <w:p w14:paraId="7C90C3CB" w14:textId="3E51BA4D" w:rsidR="002E3C19" w:rsidRPr="002E3C19" w:rsidRDefault="002E3C19" w:rsidP="002E3C19">
            <w:pPr>
              <w:rPr>
                <w:sz w:val="24"/>
                <w:szCs w:val="24"/>
              </w:rPr>
            </w:pPr>
            <w:r w:rsidRPr="002E3C19">
              <w:rPr>
                <w:sz w:val="24"/>
                <w:szCs w:val="24"/>
              </w:rPr>
              <w:t>Montant de l’investissement : </w:t>
            </w:r>
          </w:p>
        </w:tc>
        <w:tc>
          <w:tcPr>
            <w:tcW w:w="1647" w:type="dxa"/>
            <w:vAlign w:val="center"/>
          </w:tcPr>
          <w:p w14:paraId="58B44366" w14:textId="4B06BBF4" w:rsidR="002E3C19" w:rsidRPr="002E3C19" w:rsidRDefault="002E3C19" w:rsidP="002E3C19">
            <w:pPr>
              <w:jc w:val="center"/>
              <w:rPr>
                <w:sz w:val="24"/>
                <w:szCs w:val="24"/>
              </w:rPr>
            </w:pPr>
            <w:r w:rsidRPr="002E3C19">
              <w:rPr>
                <w:sz w:val="24"/>
                <w:szCs w:val="24"/>
              </w:rPr>
              <w:t>800 MF.CFP</w:t>
            </w:r>
          </w:p>
        </w:tc>
      </w:tr>
      <w:tr w:rsidR="002E3C19" w:rsidRPr="00F46592" w14:paraId="4A98CCED" w14:textId="77777777" w:rsidTr="002E3C19">
        <w:trPr>
          <w:trHeight w:val="410"/>
          <w:jc w:val="center"/>
        </w:trPr>
        <w:tc>
          <w:tcPr>
            <w:tcW w:w="3260" w:type="dxa"/>
            <w:vAlign w:val="center"/>
          </w:tcPr>
          <w:p w14:paraId="7A59AD73" w14:textId="6CD358D3" w:rsidR="002E3C19" w:rsidRPr="002E3C19" w:rsidRDefault="002E3C19" w:rsidP="002E3C19">
            <w:pPr>
              <w:rPr>
                <w:sz w:val="24"/>
                <w:szCs w:val="24"/>
              </w:rPr>
            </w:pPr>
            <w:r w:rsidRPr="002E3C19">
              <w:rPr>
                <w:sz w:val="24"/>
                <w:szCs w:val="24"/>
              </w:rPr>
              <w:t>Base éligible retenue :</w:t>
            </w:r>
          </w:p>
        </w:tc>
        <w:tc>
          <w:tcPr>
            <w:tcW w:w="1647" w:type="dxa"/>
            <w:vAlign w:val="center"/>
          </w:tcPr>
          <w:p w14:paraId="5D601880" w14:textId="3862C721" w:rsidR="002E3C19" w:rsidRPr="002E3C19" w:rsidRDefault="002E3C19" w:rsidP="002E3C19">
            <w:pPr>
              <w:jc w:val="center"/>
              <w:rPr>
                <w:sz w:val="24"/>
                <w:szCs w:val="24"/>
              </w:rPr>
            </w:pPr>
            <w:r w:rsidRPr="002E3C19">
              <w:rPr>
                <w:sz w:val="24"/>
                <w:szCs w:val="24"/>
              </w:rPr>
              <w:t>640 MF.CFP</w:t>
            </w:r>
          </w:p>
        </w:tc>
      </w:tr>
      <w:tr w:rsidR="002E3C19" w:rsidRPr="00F46592" w14:paraId="7DD34513" w14:textId="77777777" w:rsidTr="002E3C19">
        <w:trPr>
          <w:trHeight w:val="416"/>
          <w:jc w:val="center"/>
        </w:trPr>
        <w:tc>
          <w:tcPr>
            <w:tcW w:w="3260" w:type="dxa"/>
            <w:vAlign w:val="center"/>
          </w:tcPr>
          <w:p w14:paraId="4A26F032" w14:textId="5C8EAEEE" w:rsidR="002E3C19" w:rsidRPr="002E3C19" w:rsidRDefault="002E3C19" w:rsidP="002E3C19">
            <w:pPr>
              <w:rPr>
                <w:sz w:val="24"/>
                <w:szCs w:val="24"/>
              </w:rPr>
            </w:pPr>
            <w:r w:rsidRPr="002E3C19">
              <w:rPr>
                <w:sz w:val="24"/>
                <w:szCs w:val="24"/>
              </w:rPr>
              <w:t>Durée des travaux :</w:t>
            </w:r>
          </w:p>
        </w:tc>
        <w:tc>
          <w:tcPr>
            <w:tcW w:w="1647" w:type="dxa"/>
            <w:vAlign w:val="center"/>
          </w:tcPr>
          <w:p w14:paraId="52D98514" w14:textId="68D9D0DA" w:rsidR="002E3C19" w:rsidRPr="002E3C19" w:rsidRDefault="002E3C19" w:rsidP="002E3C19">
            <w:pPr>
              <w:jc w:val="center"/>
              <w:rPr>
                <w:sz w:val="24"/>
                <w:szCs w:val="24"/>
              </w:rPr>
            </w:pPr>
            <w:r w:rsidRPr="002E3C19">
              <w:rPr>
                <w:sz w:val="24"/>
                <w:szCs w:val="24"/>
              </w:rPr>
              <w:t>24 mois</w:t>
            </w:r>
          </w:p>
        </w:tc>
      </w:tr>
      <w:tr w:rsidR="002E3C19" w:rsidRPr="00F46592" w14:paraId="3C867ABA" w14:textId="77777777" w:rsidTr="002E3C19">
        <w:trPr>
          <w:trHeight w:val="423"/>
          <w:jc w:val="center"/>
        </w:trPr>
        <w:tc>
          <w:tcPr>
            <w:tcW w:w="3260" w:type="dxa"/>
            <w:vAlign w:val="center"/>
          </w:tcPr>
          <w:p w14:paraId="5FC9AEDD" w14:textId="062B5424" w:rsidR="002E3C19" w:rsidRPr="002E3C19" w:rsidRDefault="002E3C19" w:rsidP="002E3C19">
            <w:pPr>
              <w:rPr>
                <w:sz w:val="24"/>
                <w:szCs w:val="24"/>
              </w:rPr>
            </w:pPr>
            <w:r w:rsidRPr="002E3C19">
              <w:rPr>
                <w:sz w:val="24"/>
                <w:szCs w:val="24"/>
              </w:rPr>
              <w:t>Achèvement des fondations :</w:t>
            </w:r>
          </w:p>
        </w:tc>
        <w:tc>
          <w:tcPr>
            <w:tcW w:w="1647" w:type="dxa"/>
            <w:vAlign w:val="center"/>
          </w:tcPr>
          <w:p w14:paraId="57463C5C" w14:textId="61388A93" w:rsidR="002E3C19" w:rsidRPr="002E3C19" w:rsidRDefault="002E3C19" w:rsidP="002E3C19">
            <w:pPr>
              <w:jc w:val="center"/>
              <w:rPr>
                <w:sz w:val="24"/>
                <w:szCs w:val="24"/>
              </w:rPr>
            </w:pPr>
            <w:r w:rsidRPr="002E3C19">
              <w:rPr>
                <w:sz w:val="24"/>
                <w:szCs w:val="24"/>
              </w:rPr>
              <w:t>6</w:t>
            </w:r>
            <w:r w:rsidRPr="002E3C19">
              <w:rPr>
                <w:sz w:val="24"/>
                <w:szCs w:val="24"/>
                <w:vertAlign w:val="superscript"/>
              </w:rPr>
              <w:t>ème</w:t>
            </w:r>
            <w:r w:rsidRPr="002E3C19">
              <w:rPr>
                <w:sz w:val="24"/>
                <w:szCs w:val="24"/>
              </w:rPr>
              <w:t xml:space="preserve"> mois</w:t>
            </w:r>
          </w:p>
        </w:tc>
      </w:tr>
    </w:tbl>
    <w:p w14:paraId="554EFDE2" w14:textId="77777777" w:rsidR="00C512CC" w:rsidRDefault="00C512CC" w:rsidP="00C512CC">
      <w:pPr>
        <w:jc w:val="both"/>
        <w:rPr>
          <w:sz w:val="24"/>
        </w:rPr>
      </w:pPr>
    </w:p>
    <w:p w14:paraId="5A1F3536" w14:textId="7AFC8DF0" w:rsidR="00C512CC" w:rsidRPr="0094274E" w:rsidRDefault="00C512CC" w:rsidP="00C512CC">
      <w:pPr>
        <w:jc w:val="both"/>
        <w:rPr>
          <w:b/>
          <w:sz w:val="24"/>
        </w:rPr>
      </w:pPr>
      <w:r w:rsidRPr="0094274E">
        <w:rPr>
          <w:b/>
          <w:sz w:val="24"/>
        </w:rPr>
        <w:t xml:space="preserve">2°) </w:t>
      </w:r>
      <w:r w:rsidRPr="0094274E">
        <w:rPr>
          <w:b/>
          <w:sz w:val="24"/>
          <w:u w:val="single"/>
        </w:rPr>
        <w:t>Hypothèses retenues et détail des calculs déterminant les taux de rétrocession minimum à l’IS</w:t>
      </w:r>
      <w:r w:rsidR="001F5308">
        <w:rPr>
          <w:b/>
          <w:sz w:val="24"/>
          <w:u w:val="single"/>
        </w:rPr>
        <w:t xml:space="preserve"> (244 Y</w:t>
      </w:r>
      <w:bookmarkStart w:id="4" w:name="_GoBack"/>
      <w:bookmarkEnd w:id="4"/>
      <w:r w:rsidR="006F2848">
        <w:rPr>
          <w:b/>
          <w:sz w:val="24"/>
          <w:u w:val="single"/>
        </w:rPr>
        <w:t>)</w:t>
      </w:r>
      <w:r w:rsidRPr="0094274E">
        <w:rPr>
          <w:b/>
          <w:sz w:val="24"/>
        </w:rPr>
        <w:t> :</w:t>
      </w:r>
    </w:p>
    <w:p w14:paraId="2968FD5A" w14:textId="77777777" w:rsidR="00700203" w:rsidRPr="00700203" w:rsidRDefault="00700203" w:rsidP="00700203">
      <w:pPr>
        <w:jc w:val="both"/>
        <w:rPr>
          <w:sz w:val="23"/>
          <w:szCs w:val="23"/>
        </w:rPr>
      </w:pPr>
      <w:r w:rsidRPr="00700203">
        <w:rPr>
          <w:sz w:val="23"/>
          <w:szCs w:val="23"/>
        </w:rPr>
        <w:t xml:space="preserve">Sur la base de l’exemple théorique ci-dessous, le candidat effectuera et explicitera le calcul permettant de déterminer le gain fiscal pour l’investisseur, la rémunération du candidat et la rétrocession nette pour le FCH. </w:t>
      </w:r>
    </w:p>
    <w:tbl>
      <w:tblPr>
        <w:tblStyle w:val="Grilledutableau"/>
        <w:tblW w:w="0" w:type="auto"/>
        <w:jc w:val="center"/>
        <w:tblLook w:val="04A0" w:firstRow="1" w:lastRow="0" w:firstColumn="1" w:lastColumn="0" w:noHBand="0" w:noVBand="1"/>
      </w:tblPr>
      <w:tblGrid>
        <w:gridCol w:w="3260"/>
        <w:gridCol w:w="1647"/>
      </w:tblGrid>
      <w:tr w:rsidR="00206F42" w:rsidRPr="00F46592" w14:paraId="3FAC6822" w14:textId="77777777" w:rsidTr="00206F42">
        <w:trPr>
          <w:trHeight w:val="447"/>
          <w:jc w:val="center"/>
        </w:trPr>
        <w:tc>
          <w:tcPr>
            <w:tcW w:w="3260" w:type="dxa"/>
            <w:vAlign w:val="center"/>
          </w:tcPr>
          <w:p w14:paraId="082FD49D" w14:textId="77777777" w:rsidR="00206F42" w:rsidRPr="002E3C19" w:rsidRDefault="00206F42" w:rsidP="00206F42">
            <w:pPr>
              <w:rPr>
                <w:sz w:val="24"/>
                <w:szCs w:val="24"/>
              </w:rPr>
            </w:pPr>
            <w:r w:rsidRPr="002E3C19">
              <w:rPr>
                <w:sz w:val="24"/>
                <w:szCs w:val="24"/>
              </w:rPr>
              <w:t>Montant de l’investissement : </w:t>
            </w:r>
          </w:p>
        </w:tc>
        <w:tc>
          <w:tcPr>
            <w:tcW w:w="1647" w:type="dxa"/>
            <w:vAlign w:val="center"/>
          </w:tcPr>
          <w:p w14:paraId="2DFC35E5" w14:textId="0B5BA5F5" w:rsidR="00206F42" w:rsidRPr="002E3C19" w:rsidRDefault="00206F42" w:rsidP="00206F42">
            <w:pPr>
              <w:jc w:val="center"/>
              <w:rPr>
                <w:sz w:val="24"/>
                <w:szCs w:val="24"/>
              </w:rPr>
            </w:pPr>
            <w:r>
              <w:rPr>
                <w:sz w:val="24"/>
                <w:szCs w:val="24"/>
              </w:rPr>
              <w:t>2.000</w:t>
            </w:r>
            <w:r w:rsidRPr="002E3C19">
              <w:rPr>
                <w:sz w:val="24"/>
                <w:szCs w:val="24"/>
              </w:rPr>
              <w:t xml:space="preserve"> MF.CFP</w:t>
            </w:r>
          </w:p>
        </w:tc>
      </w:tr>
      <w:tr w:rsidR="00206F42" w:rsidRPr="00F46592" w14:paraId="08094D37" w14:textId="77777777" w:rsidTr="00206F42">
        <w:trPr>
          <w:trHeight w:val="410"/>
          <w:jc w:val="center"/>
        </w:trPr>
        <w:tc>
          <w:tcPr>
            <w:tcW w:w="3260" w:type="dxa"/>
            <w:vAlign w:val="center"/>
          </w:tcPr>
          <w:p w14:paraId="5423C74D" w14:textId="77777777" w:rsidR="00206F42" w:rsidRPr="002E3C19" w:rsidRDefault="00206F42" w:rsidP="00206F42">
            <w:pPr>
              <w:rPr>
                <w:sz w:val="24"/>
                <w:szCs w:val="24"/>
              </w:rPr>
            </w:pPr>
            <w:r w:rsidRPr="002E3C19">
              <w:rPr>
                <w:sz w:val="24"/>
                <w:szCs w:val="24"/>
              </w:rPr>
              <w:t>Base éligible retenue :</w:t>
            </w:r>
          </w:p>
        </w:tc>
        <w:tc>
          <w:tcPr>
            <w:tcW w:w="1647" w:type="dxa"/>
            <w:vAlign w:val="center"/>
          </w:tcPr>
          <w:p w14:paraId="7BA1C4D6" w14:textId="02DBD51B" w:rsidR="00206F42" w:rsidRPr="002E3C19" w:rsidRDefault="00206F42" w:rsidP="00206F42">
            <w:pPr>
              <w:jc w:val="center"/>
              <w:rPr>
                <w:sz w:val="24"/>
                <w:szCs w:val="24"/>
              </w:rPr>
            </w:pPr>
            <w:r>
              <w:rPr>
                <w:sz w:val="24"/>
                <w:szCs w:val="24"/>
              </w:rPr>
              <w:t>1.600</w:t>
            </w:r>
            <w:r w:rsidRPr="002E3C19">
              <w:rPr>
                <w:sz w:val="24"/>
                <w:szCs w:val="24"/>
              </w:rPr>
              <w:t xml:space="preserve"> MF.CFP</w:t>
            </w:r>
          </w:p>
        </w:tc>
      </w:tr>
      <w:tr w:rsidR="00206F42" w:rsidRPr="00F46592" w14:paraId="7B610CFE" w14:textId="77777777" w:rsidTr="00206F42">
        <w:trPr>
          <w:trHeight w:val="416"/>
          <w:jc w:val="center"/>
        </w:trPr>
        <w:tc>
          <w:tcPr>
            <w:tcW w:w="3260" w:type="dxa"/>
            <w:vAlign w:val="center"/>
          </w:tcPr>
          <w:p w14:paraId="67E3FA0A" w14:textId="77777777" w:rsidR="00206F42" w:rsidRPr="002E3C19" w:rsidRDefault="00206F42" w:rsidP="00206F42">
            <w:pPr>
              <w:rPr>
                <w:sz w:val="24"/>
                <w:szCs w:val="24"/>
              </w:rPr>
            </w:pPr>
            <w:r w:rsidRPr="002E3C19">
              <w:rPr>
                <w:sz w:val="24"/>
                <w:szCs w:val="24"/>
              </w:rPr>
              <w:t>Durée des travaux :</w:t>
            </w:r>
          </w:p>
        </w:tc>
        <w:tc>
          <w:tcPr>
            <w:tcW w:w="1647" w:type="dxa"/>
            <w:vAlign w:val="center"/>
          </w:tcPr>
          <w:p w14:paraId="2FFC4147" w14:textId="77777777" w:rsidR="00206F42" w:rsidRPr="002E3C19" w:rsidRDefault="00206F42" w:rsidP="00206F42">
            <w:pPr>
              <w:jc w:val="center"/>
              <w:rPr>
                <w:sz w:val="24"/>
                <w:szCs w:val="24"/>
              </w:rPr>
            </w:pPr>
            <w:r w:rsidRPr="002E3C19">
              <w:rPr>
                <w:sz w:val="24"/>
                <w:szCs w:val="24"/>
              </w:rPr>
              <w:t>24 mois</w:t>
            </w:r>
          </w:p>
        </w:tc>
      </w:tr>
      <w:tr w:rsidR="00206F42" w:rsidRPr="00F46592" w14:paraId="4F264BDC" w14:textId="77777777" w:rsidTr="00206F42">
        <w:trPr>
          <w:trHeight w:val="423"/>
          <w:jc w:val="center"/>
        </w:trPr>
        <w:tc>
          <w:tcPr>
            <w:tcW w:w="3260" w:type="dxa"/>
            <w:vAlign w:val="center"/>
          </w:tcPr>
          <w:p w14:paraId="553C620F" w14:textId="77777777" w:rsidR="00206F42" w:rsidRPr="002E3C19" w:rsidRDefault="00206F42" w:rsidP="00206F42">
            <w:pPr>
              <w:rPr>
                <w:sz w:val="24"/>
                <w:szCs w:val="24"/>
              </w:rPr>
            </w:pPr>
            <w:r w:rsidRPr="002E3C19">
              <w:rPr>
                <w:sz w:val="24"/>
                <w:szCs w:val="24"/>
              </w:rPr>
              <w:t>Achèvement des fondations :</w:t>
            </w:r>
          </w:p>
        </w:tc>
        <w:tc>
          <w:tcPr>
            <w:tcW w:w="1647" w:type="dxa"/>
            <w:vAlign w:val="center"/>
          </w:tcPr>
          <w:p w14:paraId="088AC7F9" w14:textId="77777777" w:rsidR="00206F42" w:rsidRPr="002E3C19" w:rsidRDefault="00206F42" w:rsidP="00206F42">
            <w:pPr>
              <w:jc w:val="center"/>
              <w:rPr>
                <w:sz w:val="24"/>
                <w:szCs w:val="24"/>
              </w:rPr>
            </w:pPr>
            <w:r w:rsidRPr="002E3C19">
              <w:rPr>
                <w:sz w:val="24"/>
                <w:szCs w:val="24"/>
              </w:rPr>
              <w:t>6</w:t>
            </w:r>
            <w:r w:rsidRPr="002E3C19">
              <w:rPr>
                <w:sz w:val="24"/>
                <w:szCs w:val="24"/>
                <w:vertAlign w:val="superscript"/>
              </w:rPr>
              <w:t>ème</w:t>
            </w:r>
            <w:r w:rsidRPr="002E3C19">
              <w:rPr>
                <w:sz w:val="24"/>
                <w:szCs w:val="24"/>
              </w:rPr>
              <w:t xml:space="preserve"> mois</w:t>
            </w:r>
          </w:p>
        </w:tc>
      </w:tr>
    </w:tbl>
    <w:p w14:paraId="5D3A4181" w14:textId="77777777" w:rsidR="001E326C" w:rsidRDefault="001E326C" w:rsidP="00E212C9">
      <w:pPr>
        <w:jc w:val="center"/>
        <w:rPr>
          <w:rFonts w:asciiTheme="majorHAnsi" w:eastAsiaTheme="majorEastAsia" w:hAnsiTheme="majorHAnsi" w:cstheme="majorBidi"/>
          <w:b/>
          <w:color w:val="17365D" w:themeColor="text2" w:themeShade="BF"/>
          <w:spacing w:val="5"/>
          <w:kern w:val="28"/>
          <w:sz w:val="32"/>
          <w:szCs w:val="52"/>
        </w:rPr>
      </w:pPr>
    </w:p>
    <w:p w14:paraId="285C7E24" w14:textId="4D1C9984" w:rsidR="00C512CC" w:rsidRDefault="00C512CC" w:rsidP="00E212C9">
      <w:pPr>
        <w:jc w:val="center"/>
        <w:rPr>
          <w:rFonts w:asciiTheme="majorHAnsi" w:eastAsiaTheme="majorEastAsia" w:hAnsiTheme="majorHAnsi" w:cstheme="majorBidi"/>
          <w:b/>
          <w:color w:val="17365D" w:themeColor="text2" w:themeShade="BF"/>
          <w:spacing w:val="5"/>
          <w:kern w:val="28"/>
          <w:sz w:val="40"/>
          <w:szCs w:val="52"/>
        </w:rPr>
      </w:pPr>
      <w:r w:rsidRPr="00073DE0">
        <w:rPr>
          <w:rFonts w:asciiTheme="majorHAnsi" w:eastAsiaTheme="majorEastAsia" w:hAnsiTheme="majorHAnsi" w:cstheme="majorBidi"/>
          <w:b/>
          <w:color w:val="17365D" w:themeColor="text2" w:themeShade="BF"/>
          <w:spacing w:val="5"/>
          <w:kern w:val="28"/>
          <w:sz w:val="32"/>
          <w:szCs w:val="52"/>
        </w:rPr>
        <w:t>[</w:t>
      </w:r>
      <w:r w:rsidR="00206F42">
        <w:rPr>
          <w:rFonts w:asciiTheme="majorHAnsi" w:eastAsiaTheme="majorEastAsia" w:hAnsiTheme="majorHAnsi" w:cstheme="majorBidi"/>
          <w:b/>
          <w:color w:val="17365D" w:themeColor="text2" w:themeShade="BF"/>
          <w:spacing w:val="5"/>
          <w:kern w:val="28"/>
          <w:sz w:val="32"/>
          <w:szCs w:val="52"/>
        </w:rPr>
        <w:t>Détail des</w:t>
      </w:r>
      <w:r>
        <w:rPr>
          <w:rFonts w:asciiTheme="majorHAnsi" w:eastAsiaTheme="majorEastAsia" w:hAnsiTheme="majorHAnsi" w:cstheme="majorBidi"/>
          <w:b/>
          <w:color w:val="17365D" w:themeColor="text2" w:themeShade="BF"/>
          <w:spacing w:val="5"/>
          <w:kern w:val="28"/>
          <w:sz w:val="32"/>
          <w:szCs w:val="52"/>
        </w:rPr>
        <w:t xml:space="preserve"> calcul</w:t>
      </w:r>
      <w:r w:rsidR="00206F42">
        <w:rPr>
          <w:rFonts w:asciiTheme="majorHAnsi" w:eastAsiaTheme="majorEastAsia" w:hAnsiTheme="majorHAnsi" w:cstheme="majorBidi"/>
          <w:b/>
          <w:color w:val="17365D" w:themeColor="text2" w:themeShade="BF"/>
          <w:spacing w:val="5"/>
          <w:kern w:val="28"/>
          <w:sz w:val="32"/>
          <w:szCs w:val="52"/>
        </w:rPr>
        <w:t>s</w:t>
      </w:r>
      <w:r>
        <w:rPr>
          <w:rFonts w:asciiTheme="majorHAnsi" w:eastAsiaTheme="majorEastAsia" w:hAnsiTheme="majorHAnsi" w:cstheme="majorBidi"/>
          <w:b/>
          <w:color w:val="17365D" w:themeColor="text2" w:themeShade="BF"/>
          <w:spacing w:val="5"/>
          <w:kern w:val="28"/>
          <w:sz w:val="32"/>
          <w:szCs w:val="52"/>
        </w:rPr>
        <w:t xml:space="preserve"> fourni</w:t>
      </w:r>
      <w:r w:rsidR="00206F42">
        <w:rPr>
          <w:rFonts w:asciiTheme="majorHAnsi" w:eastAsiaTheme="majorEastAsia" w:hAnsiTheme="majorHAnsi" w:cstheme="majorBidi"/>
          <w:b/>
          <w:color w:val="17365D" w:themeColor="text2" w:themeShade="BF"/>
          <w:spacing w:val="5"/>
          <w:kern w:val="28"/>
          <w:sz w:val="32"/>
          <w:szCs w:val="52"/>
        </w:rPr>
        <w:t>s</w:t>
      </w:r>
      <w:r>
        <w:rPr>
          <w:rFonts w:asciiTheme="majorHAnsi" w:eastAsiaTheme="majorEastAsia" w:hAnsiTheme="majorHAnsi" w:cstheme="majorBidi"/>
          <w:b/>
          <w:color w:val="17365D" w:themeColor="text2" w:themeShade="BF"/>
          <w:spacing w:val="5"/>
          <w:kern w:val="28"/>
          <w:sz w:val="32"/>
          <w:szCs w:val="52"/>
        </w:rPr>
        <w:t xml:space="preserve"> par le candidat à intégrer</w:t>
      </w:r>
      <w:r w:rsidRPr="00073DE0">
        <w:rPr>
          <w:rFonts w:asciiTheme="majorHAnsi" w:eastAsiaTheme="majorEastAsia" w:hAnsiTheme="majorHAnsi" w:cstheme="majorBidi"/>
          <w:b/>
          <w:color w:val="17365D" w:themeColor="text2" w:themeShade="BF"/>
          <w:spacing w:val="5"/>
          <w:kern w:val="28"/>
          <w:sz w:val="32"/>
          <w:szCs w:val="52"/>
        </w:rPr>
        <w:t>]</w:t>
      </w:r>
      <w:r>
        <w:br w:type="page"/>
      </w:r>
    </w:p>
    <w:p w14:paraId="5B40D059" w14:textId="034B6A63" w:rsidR="001E326C" w:rsidRPr="005434E7" w:rsidRDefault="001E326C" w:rsidP="001E326C">
      <w:pPr>
        <w:pStyle w:val="Titre1"/>
      </w:pPr>
      <w:bookmarkStart w:id="5" w:name="_Toc400552448"/>
      <w:r w:rsidRPr="00FE66C5">
        <w:lastRenderedPageBreak/>
        <w:t xml:space="preserve">ANNEXE </w:t>
      </w:r>
      <w:r>
        <w:t>2</w:t>
      </w:r>
      <w:r w:rsidRPr="00FE66C5">
        <w:t xml:space="preserve"> : ANNEXE </w:t>
      </w:r>
      <w:r>
        <w:t>2</w:t>
      </w:r>
      <w:r w:rsidRPr="00FE66C5">
        <w:t xml:space="preserve"> : </w:t>
      </w:r>
      <w:r>
        <w:t xml:space="preserve">Taux de rétrocession minimum et taux de rémunération maximum, </w:t>
      </w:r>
      <w:r w:rsidRPr="005434E7">
        <w:t>base éligible plancher (suite)</w:t>
      </w:r>
    </w:p>
    <w:p w14:paraId="6085C3B1" w14:textId="6DF1E2C6" w:rsidR="001E326C" w:rsidRPr="005434E7" w:rsidRDefault="001E326C" w:rsidP="001E326C">
      <w:pPr>
        <w:jc w:val="both"/>
        <w:rPr>
          <w:b/>
          <w:sz w:val="24"/>
        </w:rPr>
      </w:pPr>
      <w:r w:rsidRPr="005434E7">
        <w:rPr>
          <w:b/>
          <w:sz w:val="24"/>
        </w:rPr>
        <w:t xml:space="preserve">1°) </w:t>
      </w:r>
      <w:r w:rsidRPr="005434E7">
        <w:rPr>
          <w:b/>
          <w:sz w:val="24"/>
          <w:u w:val="single"/>
        </w:rPr>
        <w:t>Base éligible plancher à l’IR (199 C)</w:t>
      </w:r>
      <w:r w:rsidRPr="005434E7">
        <w:rPr>
          <w:b/>
          <w:sz w:val="24"/>
        </w:rPr>
        <w:t> :</w:t>
      </w:r>
    </w:p>
    <w:p w14:paraId="7395BF9C" w14:textId="11ABC21E" w:rsidR="001E326C" w:rsidRPr="005434E7" w:rsidRDefault="001E326C" w:rsidP="001E326C">
      <w:pPr>
        <w:jc w:val="both"/>
        <w:rPr>
          <w:b/>
          <w:sz w:val="24"/>
        </w:rPr>
      </w:pPr>
    </w:p>
    <w:p w14:paraId="0542BFA2" w14:textId="45236E74" w:rsidR="001E326C" w:rsidRPr="005434E7" w:rsidRDefault="00594EE8" w:rsidP="001E326C">
      <w:pPr>
        <w:jc w:val="both"/>
        <w:rPr>
          <w:b/>
          <w:sz w:val="24"/>
        </w:rPr>
      </w:pPr>
      <w:r w:rsidRPr="005434E7">
        <w:rPr>
          <w:b/>
          <w:sz w:val="24"/>
        </w:rPr>
        <w:t>Constructions neuves</w:t>
      </w:r>
    </w:p>
    <w:p w14:paraId="11D964BB" w14:textId="2D321A02" w:rsidR="001E326C" w:rsidRPr="005434E7" w:rsidRDefault="001E326C" w:rsidP="001E326C">
      <w:pPr>
        <w:jc w:val="both"/>
        <w:rPr>
          <w:b/>
          <w:sz w:val="24"/>
        </w:rPr>
      </w:pPr>
    </w:p>
    <w:p w14:paraId="761C8FDF" w14:textId="6C8F9B1B" w:rsidR="001E326C" w:rsidRPr="005434E7" w:rsidRDefault="001E326C" w:rsidP="001E326C">
      <w:pPr>
        <w:jc w:val="both"/>
        <w:rPr>
          <w:b/>
          <w:sz w:val="24"/>
        </w:rPr>
      </w:pPr>
    </w:p>
    <w:p w14:paraId="5C3E4F3F" w14:textId="13300509" w:rsidR="001E326C" w:rsidRPr="005434E7" w:rsidRDefault="001E326C" w:rsidP="001E326C">
      <w:pPr>
        <w:jc w:val="both"/>
        <w:rPr>
          <w:b/>
          <w:sz w:val="24"/>
        </w:rPr>
      </w:pPr>
    </w:p>
    <w:p w14:paraId="343DF4E6" w14:textId="4ADD0850" w:rsidR="001E326C" w:rsidRPr="005434E7" w:rsidRDefault="001E326C" w:rsidP="001E326C">
      <w:pPr>
        <w:jc w:val="both"/>
        <w:rPr>
          <w:b/>
          <w:sz w:val="24"/>
        </w:rPr>
      </w:pPr>
    </w:p>
    <w:p w14:paraId="1C94C114" w14:textId="1C53DDBC" w:rsidR="001E326C" w:rsidRPr="005434E7" w:rsidRDefault="00594EE8" w:rsidP="001E326C">
      <w:pPr>
        <w:jc w:val="both"/>
        <w:rPr>
          <w:b/>
          <w:sz w:val="24"/>
        </w:rPr>
      </w:pPr>
      <w:r w:rsidRPr="005434E7">
        <w:rPr>
          <w:b/>
          <w:sz w:val="24"/>
        </w:rPr>
        <w:t>Réhabilitations</w:t>
      </w:r>
    </w:p>
    <w:p w14:paraId="62D7F703" w14:textId="04AC026B" w:rsidR="001E326C" w:rsidRDefault="001E326C" w:rsidP="001E326C">
      <w:pPr>
        <w:jc w:val="both"/>
        <w:rPr>
          <w:b/>
          <w:sz w:val="24"/>
        </w:rPr>
      </w:pPr>
    </w:p>
    <w:p w14:paraId="55E56902" w14:textId="71E21D64" w:rsidR="001E326C" w:rsidRDefault="001E326C" w:rsidP="001E326C">
      <w:pPr>
        <w:jc w:val="both"/>
        <w:rPr>
          <w:b/>
          <w:sz w:val="24"/>
        </w:rPr>
      </w:pPr>
    </w:p>
    <w:p w14:paraId="0A8E8263" w14:textId="69587AF2" w:rsidR="001E326C" w:rsidRDefault="001E326C" w:rsidP="001E326C">
      <w:pPr>
        <w:jc w:val="both"/>
        <w:rPr>
          <w:b/>
          <w:sz w:val="24"/>
        </w:rPr>
      </w:pPr>
    </w:p>
    <w:p w14:paraId="66AA7F2F" w14:textId="77777777" w:rsidR="001E326C" w:rsidRPr="0094274E" w:rsidRDefault="001E326C" w:rsidP="001E326C">
      <w:pPr>
        <w:jc w:val="both"/>
        <w:rPr>
          <w:sz w:val="24"/>
        </w:rPr>
      </w:pPr>
    </w:p>
    <w:p w14:paraId="336122FD" w14:textId="77777777" w:rsidR="001E326C" w:rsidRDefault="001E326C">
      <w:pPr>
        <w:rPr>
          <w:rFonts w:asciiTheme="majorHAnsi" w:eastAsiaTheme="majorEastAsia" w:hAnsiTheme="majorHAnsi" w:cstheme="majorBidi"/>
          <w:b/>
          <w:color w:val="17365D" w:themeColor="text2" w:themeShade="BF"/>
          <w:spacing w:val="5"/>
          <w:kern w:val="28"/>
          <w:sz w:val="40"/>
          <w:szCs w:val="52"/>
        </w:rPr>
      </w:pPr>
      <w:r>
        <w:br w:type="page"/>
      </w:r>
    </w:p>
    <w:p w14:paraId="2C1751BC" w14:textId="106FFD9D" w:rsidR="00E41C9F" w:rsidRPr="00FE66C5" w:rsidRDefault="00E41C9F" w:rsidP="00671995">
      <w:pPr>
        <w:pStyle w:val="Titre1"/>
      </w:pPr>
      <w:r w:rsidRPr="00FE66C5">
        <w:lastRenderedPageBreak/>
        <w:t xml:space="preserve">ANNEXE </w:t>
      </w:r>
      <w:r w:rsidR="00E11018">
        <w:t>3</w:t>
      </w:r>
      <w:r w:rsidRPr="00FE66C5">
        <w:t xml:space="preserve"> : </w:t>
      </w:r>
      <w:r w:rsidRPr="00E41C9F">
        <w:t xml:space="preserve">Base éligible plafond pour les opérations visées à l’article 199 </w:t>
      </w:r>
      <w:proofErr w:type="spellStart"/>
      <w:r w:rsidRPr="00E41C9F">
        <w:t>undecies</w:t>
      </w:r>
      <w:proofErr w:type="spellEnd"/>
      <w:r w:rsidRPr="00E41C9F">
        <w:t xml:space="preserve"> C</w:t>
      </w:r>
      <w:bookmarkEnd w:id="5"/>
    </w:p>
    <w:p w14:paraId="15A7541E" w14:textId="77777777" w:rsidR="00E41C9F" w:rsidRDefault="00E41C9F" w:rsidP="00E41C9F">
      <w:pPr>
        <w:jc w:val="both"/>
        <w:rPr>
          <w:sz w:val="24"/>
        </w:rPr>
      </w:pPr>
      <w:r w:rsidRPr="00846003">
        <w:rPr>
          <w:sz w:val="24"/>
        </w:rPr>
        <w:t>La base éligible plafond</w:t>
      </w:r>
      <w:r>
        <w:rPr>
          <w:sz w:val="24"/>
        </w:rPr>
        <w:t xml:space="preserve"> s’entend comme étant le montant de base éligible</w:t>
      </w:r>
      <w:r w:rsidRPr="00846003">
        <w:rPr>
          <w:sz w:val="24"/>
        </w:rPr>
        <w:t xml:space="preserve"> au-delà duquel une procédure d’agrément AMF </w:t>
      </w:r>
      <w:r>
        <w:rPr>
          <w:sz w:val="24"/>
        </w:rPr>
        <w:t>est</w:t>
      </w:r>
      <w:r w:rsidRPr="00846003">
        <w:rPr>
          <w:sz w:val="24"/>
        </w:rPr>
        <w:t xml:space="preserve"> nécessaire</w:t>
      </w:r>
      <w:r>
        <w:rPr>
          <w:sz w:val="24"/>
        </w:rPr>
        <w:t xml:space="preserve">. </w:t>
      </w:r>
    </w:p>
    <w:p w14:paraId="4F52CCED" w14:textId="77777777" w:rsidR="00E41C9F" w:rsidRPr="00E41C9F" w:rsidRDefault="00073DE0" w:rsidP="00E41C9F">
      <w:pPr>
        <w:jc w:val="both"/>
        <w:rPr>
          <w:sz w:val="24"/>
        </w:rPr>
      </w:pPr>
      <w:r>
        <w:rPr>
          <w:sz w:val="24"/>
        </w:rPr>
        <w:t xml:space="preserve">Le détail du calcul permettant d’obtenir cette base éligible plafond devra être explicité et tenir compte de la législation fiscale en vigueur </w:t>
      </w:r>
      <w:r w:rsidR="00095511">
        <w:rPr>
          <w:sz w:val="24"/>
        </w:rPr>
        <w:t>à la date de remise des offres.</w:t>
      </w:r>
    </w:p>
    <w:tbl>
      <w:tblPr>
        <w:tblStyle w:val="Grilledutableau"/>
        <w:tblW w:w="0" w:type="auto"/>
        <w:jc w:val="center"/>
        <w:tblLook w:val="04A0" w:firstRow="1" w:lastRow="0" w:firstColumn="1" w:lastColumn="0" w:noHBand="0" w:noVBand="1"/>
      </w:tblPr>
      <w:tblGrid>
        <w:gridCol w:w="5844"/>
        <w:gridCol w:w="2723"/>
      </w:tblGrid>
      <w:tr w:rsidR="00E41C9F" w14:paraId="71590D23" w14:textId="77777777" w:rsidTr="006829AB">
        <w:trPr>
          <w:trHeight w:val="1604"/>
          <w:jc w:val="center"/>
        </w:trPr>
        <w:tc>
          <w:tcPr>
            <w:tcW w:w="5844" w:type="dxa"/>
            <w:vAlign w:val="center"/>
          </w:tcPr>
          <w:p w14:paraId="368C8B9F" w14:textId="77777777" w:rsidR="00E41C9F" w:rsidRDefault="00E41C9F" w:rsidP="00CD46A6">
            <w:pPr>
              <w:rPr>
                <w:b/>
                <w:sz w:val="28"/>
              </w:rPr>
            </w:pPr>
            <w:r>
              <w:rPr>
                <w:b/>
                <w:sz w:val="28"/>
              </w:rPr>
              <w:t>Base éligible plafond pour les opérations à l’IR</w:t>
            </w:r>
            <w:r w:rsidRPr="00F46592">
              <w:rPr>
                <w:b/>
                <w:sz w:val="28"/>
              </w:rPr>
              <w:t xml:space="preserve"> : </w:t>
            </w:r>
          </w:p>
          <w:p w14:paraId="48D51F57" w14:textId="77777777" w:rsidR="00E41C9F" w:rsidRPr="00F46592" w:rsidRDefault="00E41C9F" w:rsidP="00CD46A6">
            <w:pPr>
              <w:rPr>
                <w:b/>
                <w:sz w:val="28"/>
              </w:rPr>
            </w:pPr>
            <w:r w:rsidRPr="00F46592">
              <w:rPr>
                <w:i/>
                <w:sz w:val="24"/>
              </w:rPr>
              <w:t xml:space="preserve">(opérations visées à l’article 199 </w:t>
            </w:r>
            <w:proofErr w:type="spellStart"/>
            <w:r w:rsidRPr="00F46592">
              <w:rPr>
                <w:i/>
                <w:sz w:val="24"/>
              </w:rPr>
              <w:t>undecies</w:t>
            </w:r>
            <w:proofErr w:type="spellEnd"/>
            <w:r w:rsidRPr="00F46592">
              <w:rPr>
                <w:i/>
                <w:sz w:val="24"/>
              </w:rPr>
              <w:t xml:space="preserve"> C du code général des impôts)</w:t>
            </w:r>
            <w:r w:rsidRPr="00F46592">
              <w:rPr>
                <w:b/>
                <w:sz w:val="24"/>
              </w:rPr>
              <w:t> </w:t>
            </w:r>
          </w:p>
        </w:tc>
        <w:tc>
          <w:tcPr>
            <w:tcW w:w="2723" w:type="dxa"/>
            <w:vAlign w:val="center"/>
          </w:tcPr>
          <w:p w14:paraId="33201882" w14:textId="77777777" w:rsidR="00E41C9F" w:rsidRPr="00F46592" w:rsidRDefault="00E41C9F" w:rsidP="00CD46A6">
            <w:pPr>
              <w:jc w:val="right"/>
              <w:rPr>
                <w:b/>
                <w:sz w:val="52"/>
              </w:rPr>
            </w:pPr>
            <w:r w:rsidRPr="00E41C9F">
              <w:rPr>
                <w:b/>
                <w:sz w:val="32"/>
              </w:rPr>
              <w:t>MF.CFP</w:t>
            </w:r>
          </w:p>
        </w:tc>
      </w:tr>
    </w:tbl>
    <w:p w14:paraId="0059F6B9" w14:textId="77777777" w:rsidR="00E41C9F" w:rsidRDefault="00E41C9F" w:rsidP="00E41C9F">
      <w:pPr>
        <w:jc w:val="both"/>
      </w:pPr>
    </w:p>
    <w:p w14:paraId="165AC631" w14:textId="77777777" w:rsidR="00E41C9F" w:rsidRDefault="00F205A9" w:rsidP="00F205A9">
      <w:pPr>
        <w:jc w:val="center"/>
        <w:rPr>
          <w:rFonts w:asciiTheme="majorHAnsi" w:eastAsiaTheme="majorEastAsia" w:hAnsiTheme="majorHAnsi" w:cstheme="majorBidi"/>
          <w:b/>
          <w:color w:val="17365D" w:themeColor="text2" w:themeShade="BF"/>
          <w:spacing w:val="5"/>
          <w:kern w:val="28"/>
          <w:sz w:val="40"/>
          <w:szCs w:val="52"/>
        </w:rPr>
      </w:pPr>
      <w:r w:rsidRPr="00073DE0">
        <w:rPr>
          <w:rFonts w:asciiTheme="majorHAnsi" w:eastAsiaTheme="majorEastAsia" w:hAnsiTheme="majorHAnsi" w:cstheme="majorBidi"/>
          <w:b/>
          <w:color w:val="17365D" w:themeColor="text2" w:themeShade="BF"/>
          <w:spacing w:val="5"/>
          <w:kern w:val="28"/>
          <w:sz w:val="32"/>
          <w:szCs w:val="52"/>
        </w:rPr>
        <w:t>[</w:t>
      </w:r>
      <w:r>
        <w:rPr>
          <w:rFonts w:asciiTheme="majorHAnsi" w:eastAsiaTheme="majorEastAsia" w:hAnsiTheme="majorHAnsi" w:cstheme="majorBidi"/>
          <w:b/>
          <w:color w:val="17365D" w:themeColor="text2" w:themeShade="BF"/>
          <w:spacing w:val="5"/>
          <w:kern w:val="28"/>
          <w:sz w:val="32"/>
          <w:szCs w:val="52"/>
        </w:rPr>
        <w:t>Détail du calcul fourni par le candidat à intégrer</w:t>
      </w:r>
      <w:r w:rsidRPr="00073DE0">
        <w:rPr>
          <w:rFonts w:asciiTheme="majorHAnsi" w:eastAsiaTheme="majorEastAsia" w:hAnsiTheme="majorHAnsi" w:cstheme="majorBidi"/>
          <w:b/>
          <w:color w:val="17365D" w:themeColor="text2" w:themeShade="BF"/>
          <w:spacing w:val="5"/>
          <w:kern w:val="28"/>
          <w:sz w:val="32"/>
          <w:szCs w:val="52"/>
        </w:rPr>
        <w:t>]</w:t>
      </w:r>
    </w:p>
    <w:p w14:paraId="3371F502" w14:textId="77777777" w:rsidR="00CC54DD" w:rsidRPr="00FE66C5" w:rsidRDefault="00CD46A6" w:rsidP="00671995">
      <w:pPr>
        <w:pStyle w:val="Titre1"/>
      </w:pPr>
      <w:r>
        <w:br w:type="page"/>
      </w:r>
      <w:bookmarkStart w:id="6" w:name="_Toc400552449"/>
      <w:r w:rsidR="00CC54DD" w:rsidRPr="00FE66C5">
        <w:lastRenderedPageBreak/>
        <w:t xml:space="preserve">ANNEXE </w:t>
      </w:r>
      <w:r w:rsidR="00CC54DD">
        <w:t>4</w:t>
      </w:r>
      <w:r w:rsidR="00CC54DD" w:rsidRPr="00FE66C5">
        <w:t xml:space="preserve"> : </w:t>
      </w:r>
      <w:r w:rsidR="00CC54DD">
        <w:t xml:space="preserve">Délai </w:t>
      </w:r>
      <w:r w:rsidR="00A54F47">
        <w:t>maximal</w:t>
      </w:r>
      <w:r w:rsidR="00CC54DD">
        <w:t xml:space="preserve"> de versement de la rétrocession et pénalités de retard</w:t>
      </w:r>
      <w:bookmarkEnd w:id="6"/>
    </w:p>
    <w:p w14:paraId="35D12034" w14:textId="77777777" w:rsidR="00CC54DD" w:rsidRPr="00E41C9F" w:rsidRDefault="00CC54DD" w:rsidP="00CC54DD">
      <w:pPr>
        <w:jc w:val="both"/>
        <w:rPr>
          <w:sz w:val="24"/>
        </w:rPr>
      </w:pPr>
      <w:r>
        <w:rPr>
          <w:sz w:val="24"/>
        </w:rPr>
        <w:t xml:space="preserve">Le délai </w:t>
      </w:r>
      <w:r w:rsidR="00A54F47">
        <w:rPr>
          <w:sz w:val="24"/>
        </w:rPr>
        <w:t>maximal</w:t>
      </w:r>
      <w:r>
        <w:rPr>
          <w:sz w:val="24"/>
        </w:rPr>
        <w:t xml:space="preserve"> de versement de la rétrocession s’entend comme étant le délai décompté à partir de l’obtention de l’accord préalable de la DGFIP au-delà duquel des pénalités seront exigibles</w:t>
      </w:r>
      <w:r w:rsidR="00095511">
        <w:rPr>
          <w:sz w:val="24"/>
        </w:rPr>
        <w:t xml:space="preserve">. </w:t>
      </w:r>
    </w:p>
    <w:tbl>
      <w:tblPr>
        <w:tblStyle w:val="Grilledutableau"/>
        <w:tblW w:w="0" w:type="auto"/>
        <w:jc w:val="center"/>
        <w:tblLook w:val="04A0" w:firstRow="1" w:lastRow="0" w:firstColumn="1" w:lastColumn="0" w:noHBand="0" w:noVBand="1"/>
      </w:tblPr>
      <w:tblGrid>
        <w:gridCol w:w="5985"/>
        <w:gridCol w:w="2582"/>
      </w:tblGrid>
      <w:tr w:rsidR="00CC54DD" w14:paraId="6A371BFB" w14:textId="77777777" w:rsidTr="00CC54DD">
        <w:trPr>
          <w:trHeight w:val="1604"/>
          <w:jc w:val="center"/>
        </w:trPr>
        <w:tc>
          <w:tcPr>
            <w:tcW w:w="5985" w:type="dxa"/>
            <w:vAlign w:val="center"/>
          </w:tcPr>
          <w:p w14:paraId="32CD4C13" w14:textId="77777777" w:rsidR="00CC54DD" w:rsidRPr="00F46592" w:rsidRDefault="00CC54DD" w:rsidP="00171531">
            <w:pPr>
              <w:rPr>
                <w:b/>
                <w:sz w:val="28"/>
              </w:rPr>
            </w:pPr>
            <w:r>
              <w:rPr>
                <w:b/>
                <w:sz w:val="28"/>
              </w:rPr>
              <w:t xml:space="preserve">Délai </w:t>
            </w:r>
            <w:r w:rsidR="00A54F47">
              <w:rPr>
                <w:b/>
                <w:sz w:val="28"/>
              </w:rPr>
              <w:t>maximal</w:t>
            </w:r>
            <w:r>
              <w:rPr>
                <w:b/>
                <w:sz w:val="28"/>
              </w:rPr>
              <w:t xml:space="preserve"> de versement de la rétrocession</w:t>
            </w:r>
            <w:r w:rsidRPr="00F46592">
              <w:rPr>
                <w:b/>
                <w:sz w:val="28"/>
              </w:rPr>
              <w:t xml:space="preserve"> : </w:t>
            </w:r>
          </w:p>
        </w:tc>
        <w:tc>
          <w:tcPr>
            <w:tcW w:w="2582" w:type="dxa"/>
            <w:vAlign w:val="center"/>
          </w:tcPr>
          <w:p w14:paraId="08EC3EEF" w14:textId="77777777" w:rsidR="00CC54DD" w:rsidRPr="00F46592" w:rsidRDefault="00CC54DD" w:rsidP="00171531">
            <w:pPr>
              <w:jc w:val="right"/>
              <w:rPr>
                <w:b/>
                <w:sz w:val="52"/>
              </w:rPr>
            </w:pPr>
            <w:r w:rsidRPr="00CC54DD">
              <w:rPr>
                <w:b/>
                <w:sz w:val="52"/>
              </w:rPr>
              <w:t>mois</w:t>
            </w:r>
          </w:p>
        </w:tc>
      </w:tr>
    </w:tbl>
    <w:p w14:paraId="5F395F1F" w14:textId="77777777" w:rsidR="00CC54DD" w:rsidRDefault="00CC54DD" w:rsidP="00CC54DD">
      <w:pPr>
        <w:jc w:val="both"/>
      </w:pPr>
    </w:p>
    <w:p w14:paraId="37031A87" w14:textId="77777777" w:rsidR="0041568B" w:rsidRDefault="0041568B" w:rsidP="00CC54DD">
      <w:pPr>
        <w:jc w:val="both"/>
      </w:pPr>
    </w:p>
    <w:p w14:paraId="0D1D86F6" w14:textId="77777777" w:rsidR="0041568B" w:rsidRPr="00095511" w:rsidRDefault="00CC54DD" w:rsidP="00CC54DD">
      <w:pPr>
        <w:jc w:val="both"/>
        <w:rPr>
          <w:sz w:val="24"/>
        </w:rPr>
      </w:pPr>
      <w:r w:rsidRPr="004B10CA">
        <w:rPr>
          <w:sz w:val="24"/>
        </w:rPr>
        <w:t>Les pénalités de retard</w:t>
      </w:r>
      <w:r w:rsidR="00095511">
        <w:rPr>
          <w:sz w:val="24"/>
        </w:rPr>
        <w:t>,</w:t>
      </w:r>
      <w:r w:rsidRPr="004B10CA">
        <w:rPr>
          <w:sz w:val="24"/>
        </w:rPr>
        <w:t xml:space="preserve"> </w:t>
      </w:r>
      <w:r w:rsidR="00095511">
        <w:rPr>
          <w:sz w:val="24"/>
        </w:rPr>
        <w:t xml:space="preserve">qui seront accordées au FCH en cas de dépassement du délai </w:t>
      </w:r>
      <w:r w:rsidR="00A54F47">
        <w:rPr>
          <w:sz w:val="24"/>
        </w:rPr>
        <w:t>maximal</w:t>
      </w:r>
      <w:r w:rsidR="00095511">
        <w:rPr>
          <w:sz w:val="24"/>
        </w:rPr>
        <w:t xml:space="preserve"> de versement de la rétrocession mentionné ci-dessus, </w:t>
      </w:r>
      <w:r w:rsidRPr="004B10CA">
        <w:rPr>
          <w:sz w:val="24"/>
        </w:rPr>
        <w:t>se composeront d’une indemnité fixe exprimée en francs pacifiques et d’un taux d’intérêts de retard</w:t>
      </w:r>
      <w:r w:rsidR="0041568B" w:rsidRPr="004B10CA">
        <w:rPr>
          <w:sz w:val="24"/>
        </w:rPr>
        <w:t xml:space="preserve"> exprimé sous forme d’</w:t>
      </w:r>
      <w:r w:rsidR="00095511">
        <w:rPr>
          <w:sz w:val="24"/>
        </w:rPr>
        <w:t>un taux définis</w:t>
      </w:r>
      <w:r w:rsidR="0041568B" w:rsidRPr="004B10CA">
        <w:rPr>
          <w:sz w:val="24"/>
        </w:rPr>
        <w:t>.</w:t>
      </w:r>
    </w:p>
    <w:tbl>
      <w:tblPr>
        <w:tblStyle w:val="Grilledutableau"/>
        <w:tblW w:w="0" w:type="auto"/>
        <w:jc w:val="center"/>
        <w:tblLook w:val="04A0" w:firstRow="1" w:lastRow="0" w:firstColumn="1" w:lastColumn="0" w:noHBand="0" w:noVBand="1"/>
      </w:tblPr>
      <w:tblGrid>
        <w:gridCol w:w="5985"/>
        <w:gridCol w:w="2582"/>
      </w:tblGrid>
      <w:tr w:rsidR="00CC54DD" w14:paraId="70B3BE37" w14:textId="77777777" w:rsidTr="00CC54DD">
        <w:trPr>
          <w:trHeight w:val="1162"/>
          <w:jc w:val="center"/>
        </w:trPr>
        <w:tc>
          <w:tcPr>
            <w:tcW w:w="5985" w:type="dxa"/>
            <w:vAlign w:val="center"/>
          </w:tcPr>
          <w:p w14:paraId="40CF3DA5" w14:textId="77777777" w:rsidR="00CC54DD" w:rsidRPr="00F46592" w:rsidRDefault="00CC54DD" w:rsidP="00171531">
            <w:pPr>
              <w:rPr>
                <w:b/>
                <w:sz w:val="28"/>
              </w:rPr>
            </w:pPr>
            <w:r>
              <w:rPr>
                <w:b/>
                <w:sz w:val="28"/>
              </w:rPr>
              <w:t>Indemnité fixe en cas de versement de la rétrocession au-delà du délai exprimé ci-dessus</w:t>
            </w:r>
            <w:r w:rsidRPr="00F46592">
              <w:rPr>
                <w:b/>
                <w:sz w:val="28"/>
              </w:rPr>
              <w:t xml:space="preserve"> : </w:t>
            </w:r>
          </w:p>
        </w:tc>
        <w:tc>
          <w:tcPr>
            <w:tcW w:w="2582" w:type="dxa"/>
            <w:vAlign w:val="center"/>
          </w:tcPr>
          <w:p w14:paraId="697CB835" w14:textId="77777777" w:rsidR="00CC54DD" w:rsidRPr="00CC54DD" w:rsidRDefault="00CC54DD" w:rsidP="00171531">
            <w:pPr>
              <w:jc w:val="right"/>
              <w:rPr>
                <w:b/>
                <w:sz w:val="52"/>
              </w:rPr>
            </w:pPr>
            <w:r w:rsidRPr="00101236">
              <w:rPr>
                <w:b/>
                <w:sz w:val="32"/>
              </w:rPr>
              <w:t>F.CFP</w:t>
            </w:r>
          </w:p>
        </w:tc>
      </w:tr>
      <w:tr w:rsidR="00CC54DD" w14:paraId="780BA8DD" w14:textId="77777777" w:rsidTr="00CC54DD">
        <w:trPr>
          <w:trHeight w:val="1534"/>
          <w:jc w:val="center"/>
        </w:trPr>
        <w:tc>
          <w:tcPr>
            <w:tcW w:w="5985" w:type="dxa"/>
            <w:vAlign w:val="center"/>
          </w:tcPr>
          <w:p w14:paraId="3A953293" w14:textId="77777777" w:rsidR="00CC54DD" w:rsidRDefault="00CC54DD" w:rsidP="00171531">
            <w:pPr>
              <w:rPr>
                <w:b/>
                <w:sz w:val="28"/>
              </w:rPr>
            </w:pPr>
            <w:r>
              <w:rPr>
                <w:b/>
                <w:sz w:val="28"/>
              </w:rPr>
              <w:t>Taux d’intérêts de retard :</w:t>
            </w:r>
          </w:p>
          <w:p w14:paraId="08C20F24" w14:textId="77777777" w:rsidR="00CC54DD" w:rsidRPr="00CC54DD" w:rsidRDefault="00CC54DD" w:rsidP="00171531">
            <w:pPr>
              <w:rPr>
                <w:i/>
                <w:sz w:val="28"/>
              </w:rPr>
            </w:pPr>
            <w:r w:rsidRPr="00CC54DD">
              <w:rPr>
                <w:i/>
                <w:sz w:val="24"/>
              </w:rPr>
              <w:t>(ce taux devra être fixe, la base de calcul sera le montant de la rétrocession et le retard décompté à partir du premier jour au-delà du délai exprimé ci-dessus)</w:t>
            </w:r>
          </w:p>
        </w:tc>
        <w:tc>
          <w:tcPr>
            <w:tcW w:w="2582" w:type="dxa"/>
            <w:vAlign w:val="center"/>
          </w:tcPr>
          <w:p w14:paraId="17CB9479" w14:textId="77777777" w:rsidR="00CC54DD" w:rsidRPr="00CC54DD" w:rsidRDefault="00CC54DD" w:rsidP="00171531">
            <w:pPr>
              <w:jc w:val="right"/>
              <w:rPr>
                <w:b/>
                <w:sz w:val="52"/>
              </w:rPr>
            </w:pPr>
            <w:r w:rsidRPr="00CC54DD">
              <w:rPr>
                <w:b/>
                <w:sz w:val="52"/>
              </w:rPr>
              <w:t>%</w:t>
            </w:r>
          </w:p>
        </w:tc>
      </w:tr>
    </w:tbl>
    <w:p w14:paraId="725A2E5A" w14:textId="77777777" w:rsidR="00CC54DD" w:rsidRDefault="00CC54DD" w:rsidP="00CC54DD">
      <w:pPr>
        <w:rPr>
          <w:rFonts w:asciiTheme="majorHAnsi" w:eastAsiaTheme="majorEastAsia" w:hAnsiTheme="majorHAnsi" w:cstheme="majorBidi"/>
          <w:b/>
          <w:color w:val="17365D" w:themeColor="text2" w:themeShade="BF"/>
          <w:spacing w:val="5"/>
          <w:kern w:val="28"/>
          <w:sz w:val="40"/>
          <w:szCs w:val="52"/>
        </w:rPr>
      </w:pPr>
    </w:p>
    <w:p w14:paraId="08B12D82" w14:textId="77777777" w:rsidR="00CD46A6" w:rsidRDefault="00CD46A6">
      <w:pPr>
        <w:rPr>
          <w:rFonts w:asciiTheme="majorHAnsi" w:eastAsiaTheme="majorEastAsia" w:hAnsiTheme="majorHAnsi" w:cstheme="majorBidi"/>
          <w:b/>
          <w:color w:val="17365D" w:themeColor="text2" w:themeShade="BF"/>
          <w:spacing w:val="5"/>
          <w:kern w:val="28"/>
          <w:sz w:val="40"/>
          <w:szCs w:val="52"/>
        </w:rPr>
      </w:pPr>
    </w:p>
    <w:p w14:paraId="102B7C9E" w14:textId="77777777" w:rsidR="0041568B" w:rsidRDefault="0041568B">
      <w:pPr>
        <w:rPr>
          <w:rFonts w:asciiTheme="majorHAnsi" w:eastAsiaTheme="majorEastAsia" w:hAnsiTheme="majorHAnsi" w:cstheme="majorBidi"/>
          <w:b/>
          <w:color w:val="17365D" w:themeColor="text2" w:themeShade="BF"/>
          <w:spacing w:val="5"/>
          <w:kern w:val="28"/>
          <w:sz w:val="40"/>
          <w:szCs w:val="52"/>
        </w:rPr>
      </w:pPr>
      <w:r>
        <w:rPr>
          <w:b/>
          <w:sz w:val="40"/>
        </w:rPr>
        <w:br w:type="page"/>
      </w:r>
    </w:p>
    <w:p w14:paraId="6F586933" w14:textId="77777777" w:rsidR="00CD46A6" w:rsidRPr="00FE66C5" w:rsidRDefault="00CD46A6" w:rsidP="00671995">
      <w:pPr>
        <w:pStyle w:val="Titre1"/>
      </w:pPr>
      <w:bookmarkStart w:id="7" w:name="_Toc400552450"/>
      <w:r w:rsidRPr="00FE66C5">
        <w:lastRenderedPageBreak/>
        <w:t xml:space="preserve">ANNEXE </w:t>
      </w:r>
      <w:r w:rsidR="0041568B">
        <w:t>5</w:t>
      </w:r>
      <w:r w:rsidRPr="00FE66C5">
        <w:t xml:space="preserve"> : </w:t>
      </w:r>
      <w:r w:rsidR="001C6B1B">
        <w:t>Mémoire technique</w:t>
      </w:r>
      <w:bookmarkEnd w:id="7"/>
      <w:r w:rsidR="001C6B1B">
        <w:t xml:space="preserve"> </w:t>
      </w:r>
    </w:p>
    <w:p w14:paraId="2DC8C563" w14:textId="77777777" w:rsidR="00073DE0" w:rsidRDefault="00073DE0" w:rsidP="00073DE0">
      <w:pPr>
        <w:jc w:val="center"/>
        <w:rPr>
          <w:rFonts w:asciiTheme="majorHAnsi" w:eastAsiaTheme="majorEastAsia" w:hAnsiTheme="majorHAnsi" w:cstheme="majorBidi"/>
          <w:b/>
          <w:color w:val="17365D" w:themeColor="text2" w:themeShade="BF"/>
          <w:spacing w:val="5"/>
          <w:kern w:val="28"/>
          <w:sz w:val="32"/>
          <w:szCs w:val="52"/>
        </w:rPr>
      </w:pPr>
    </w:p>
    <w:p w14:paraId="0A49242F" w14:textId="77777777" w:rsidR="00073DE0" w:rsidRPr="00073DE0" w:rsidRDefault="00073DE0" w:rsidP="00073DE0">
      <w:pPr>
        <w:jc w:val="center"/>
        <w:rPr>
          <w:rFonts w:asciiTheme="majorHAnsi" w:eastAsiaTheme="majorEastAsia" w:hAnsiTheme="majorHAnsi" w:cstheme="majorBidi"/>
          <w:b/>
          <w:color w:val="17365D" w:themeColor="text2" w:themeShade="BF"/>
          <w:spacing w:val="5"/>
          <w:kern w:val="28"/>
          <w:sz w:val="32"/>
          <w:szCs w:val="52"/>
        </w:rPr>
      </w:pPr>
      <w:r w:rsidRPr="00073DE0">
        <w:rPr>
          <w:rFonts w:asciiTheme="majorHAnsi" w:eastAsiaTheme="majorEastAsia" w:hAnsiTheme="majorHAnsi" w:cstheme="majorBidi"/>
          <w:b/>
          <w:color w:val="17365D" w:themeColor="text2" w:themeShade="BF"/>
          <w:spacing w:val="5"/>
          <w:kern w:val="28"/>
          <w:sz w:val="32"/>
          <w:szCs w:val="52"/>
        </w:rPr>
        <w:t>[</w:t>
      </w:r>
      <w:r w:rsidR="001C6B1B">
        <w:rPr>
          <w:rFonts w:asciiTheme="majorHAnsi" w:eastAsiaTheme="majorEastAsia" w:hAnsiTheme="majorHAnsi" w:cstheme="majorBidi"/>
          <w:b/>
          <w:color w:val="17365D" w:themeColor="text2" w:themeShade="BF"/>
          <w:spacing w:val="5"/>
          <w:kern w:val="28"/>
          <w:sz w:val="32"/>
          <w:szCs w:val="52"/>
        </w:rPr>
        <w:t>Mémoire technique du candidat</w:t>
      </w:r>
      <w:r w:rsidRPr="00073DE0">
        <w:rPr>
          <w:rFonts w:asciiTheme="majorHAnsi" w:eastAsiaTheme="majorEastAsia" w:hAnsiTheme="majorHAnsi" w:cstheme="majorBidi"/>
          <w:b/>
          <w:color w:val="17365D" w:themeColor="text2" w:themeShade="BF"/>
          <w:spacing w:val="5"/>
          <w:kern w:val="28"/>
          <w:sz w:val="32"/>
          <w:szCs w:val="52"/>
        </w:rPr>
        <w:t xml:space="preserve"> à intégrer]</w:t>
      </w:r>
    </w:p>
    <w:p w14:paraId="32FDE1E9" w14:textId="77777777" w:rsidR="00CD46A6" w:rsidRPr="00F205A9" w:rsidRDefault="00CD46A6">
      <w:pPr>
        <w:rPr>
          <w:rFonts w:cstheme="minorHAnsi"/>
          <w:sz w:val="24"/>
        </w:rPr>
      </w:pPr>
    </w:p>
    <w:p w14:paraId="50D08262" w14:textId="77777777" w:rsidR="001C6B1B" w:rsidRPr="00F205A9" w:rsidRDefault="001C6B1B" w:rsidP="006969B4">
      <w:pPr>
        <w:rPr>
          <w:rFonts w:cstheme="minorHAnsi"/>
          <w:sz w:val="28"/>
          <w:szCs w:val="28"/>
        </w:rPr>
      </w:pPr>
      <w:r w:rsidRPr="00F205A9">
        <w:rPr>
          <w:rFonts w:cstheme="minorHAnsi"/>
          <w:sz w:val="28"/>
          <w:szCs w:val="28"/>
        </w:rPr>
        <w:t>Le mémoire technique comprend :</w:t>
      </w:r>
    </w:p>
    <w:p w14:paraId="6A26C22A" w14:textId="77777777" w:rsidR="001C6B1B" w:rsidRDefault="001C6B1B" w:rsidP="006969B4">
      <w:pPr>
        <w:pStyle w:val="Paragraphedeliste"/>
        <w:numPr>
          <w:ilvl w:val="0"/>
          <w:numId w:val="18"/>
        </w:numPr>
        <w:rPr>
          <w:rFonts w:cstheme="minorHAnsi"/>
          <w:sz w:val="28"/>
          <w:szCs w:val="28"/>
        </w:rPr>
      </w:pPr>
      <w:r w:rsidRPr="00F205A9">
        <w:rPr>
          <w:rFonts w:cstheme="minorHAnsi"/>
          <w:sz w:val="28"/>
          <w:szCs w:val="28"/>
        </w:rPr>
        <w:t>Une notice technique de présentation d’une opération à l’IR et d’une opération à l’IS ;</w:t>
      </w:r>
    </w:p>
    <w:p w14:paraId="6BF3B9EB" w14:textId="77777777" w:rsidR="00B63068" w:rsidRDefault="00B63068" w:rsidP="00B63068">
      <w:pPr>
        <w:pStyle w:val="Paragraphedeliste"/>
        <w:ind w:left="1068"/>
        <w:rPr>
          <w:rFonts w:cstheme="minorHAnsi"/>
          <w:sz w:val="28"/>
          <w:szCs w:val="28"/>
        </w:rPr>
      </w:pPr>
    </w:p>
    <w:p w14:paraId="00306576" w14:textId="77777777" w:rsidR="00B63068" w:rsidRPr="00F205A9" w:rsidRDefault="00B63068" w:rsidP="006969B4">
      <w:pPr>
        <w:pStyle w:val="Paragraphedeliste"/>
        <w:numPr>
          <w:ilvl w:val="0"/>
          <w:numId w:val="18"/>
        </w:numPr>
        <w:rPr>
          <w:rFonts w:cstheme="minorHAnsi"/>
          <w:sz w:val="28"/>
          <w:szCs w:val="28"/>
        </w:rPr>
      </w:pPr>
      <w:r>
        <w:rPr>
          <w:rFonts w:cstheme="minorHAnsi"/>
          <w:sz w:val="28"/>
          <w:szCs w:val="28"/>
        </w:rPr>
        <w:t>La liste des documents à fournir par le FCH pour rédiger la demande d’accord préalable ;</w:t>
      </w:r>
    </w:p>
    <w:p w14:paraId="5BB1015C" w14:textId="77777777" w:rsidR="006969B4" w:rsidRPr="00F205A9" w:rsidRDefault="006969B4" w:rsidP="006969B4">
      <w:pPr>
        <w:pStyle w:val="Paragraphedeliste"/>
        <w:ind w:left="1068"/>
        <w:rPr>
          <w:rFonts w:cstheme="minorHAnsi"/>
          <w:sz w:val="28"/>
          <w:szCs w:val="28"/>
        </w:rPr>
      </w:pPr>
    </w:p>
    <w:p w14:paraId="308E07AE" w14:textId="77777777" w:rsidR="001C6B1B" w:rsidRPr="00F205A9" w:rsidRDefault="001C6B1B" w:rsidP="006969B4">
      <w:pPr>
        <w:pStyle w:val="Paragraphedeliste"/>
        <w:numPr>
          <w:ilvl w:val="0"/>
          <w:numId w:val="18"/>
        </w:numPr>
        <w:rPr>
          <w:rFonts w:cstheme="minorHAnsi"/>
          <w:sz w:val="28"/>
          <w:szCs w:val="28"/>
        </w:rPr>
      </w:pPr>
      <w:r w:rsidRPr="00F205A9">
        <w:rPr>
          <w:rFonts w:cstheme="minorHAnsi"/>
          <w:sz w:val="28"/>
          <w:szCs w:val="28"/>
        </w:rPr>
        <w:t>La documentation juridique du candidat ;</w:t>
      </w:r>
    </w:p>
    <w:p w14:paraId="53C97D98" w14:textId="77777777" w:rsidR="006969B4" w:rsidRPr="00F205A9" w:rsidRDefault="006969B4" w:rsidP="006969B4">
      <w:pPr>
        <w:pStyle w:val="Paragraphedeliste"/>
        <w:ind w:left="1068"/>
        <w:rPr>
          <w:rFonts w:cstheme="minorHAnsi"/>
          <w:sz w:val="28"/>
          <w:szCs w:val="28"/>
        </w:rPr>
      </w:pPr>
    </w:p>
    <w:p w14:paraId="73E412D2" w14:textId="77777777" w:rsidR="006969B4" w:rsidRPr="00F205A9" w:rsidRDefault="001C6B1B" w:rsidP="006969B4">
      <w:pPr>
        <w:pStyle w:val="Paragraphedeliste"/>
        <w:numPr>
          <w:ilvl w:val="0"/>
          <w:numId w:val="18"/>
        </w:numPr>
        <w:rPr>
          <w:rFonts w:cstheme="minorHAnsi"/>
          <w:sz w:val="28"/>
          <w:szCs w:val="28"/>
        </w:rPr>
      </w:pPr>
      <w:r w:rsidRPr="00F205A9">
        <w:rPr>
          <w:rFonts w:cstheme="minorHAnsi"/>
          <w:sz w:val="28"/>
          <w:szCs w:val="28"/>
        </w:rPr>
        <w:t>Une analyse fiscale de</w:t>
      </w:r>
      <w:r w:rsidR="006969B4" w:rsidRPr="00F205A9">
        <w:rPr>
          <w:rFonts w:cstheme="minorHAnsi"/>
          <w:sz w:val="28"/>
          <w:szCs w:val="28"/>
        </w:rPr>
        <w:t>s</w:t>
      </w:r>
      <w:r w:rsidRPr="00F205A9">
        <w:rPr>
          <w:rFonts w:cstheme="minorHAnsi"/>
          <w:sz w:val="28"/>
          <w:szCs w:val="28"/>
        </w:rPr>
        <w:t xml:space="preserve"> </w:t>
      </w:r>
      <w:r w:rsidR="006969B4" w:rsidRPr="00F205A9">
        <w:rPr>
          <w:rFonts w:cstheme="minorHAnsi"/>
          <w:sz w:val="28"/>
          <w:szCs w:val="28"/>
        </w:rPr>
        <w:t>montages envisagés</w:t>
      </w:r>
      <w:r w:rsidRPr="00F205A9">
        <w:rPr>
          <w:rFonts w:cstheme="minorHAnsi"/>
          <w:sz w:val="28"/>
          <w:szCs w:val="28"/>
        </w:rPr>
        <w:t>. </w:t>
      </w:r>
    </w:p>
    <w:p w14:paraId="0FB303FE" w14:textId="77777777" w:rsidR="00073DE0" w:rsidRPr="00F205A9" w:rsidRDefault="00E41C9F" w:rsidP="006969B4">
      <w:pPr>
        <w:pStyle w:val="Titre"/>
        <w:rPr>
          <w:rFonts w:asciiTheme="minorHAnsi" w:hAnsiTheme="minorHAnsi" w:cstheme="minorHAnsi"/>
          <w:b/>
          <w:color w:val="auto"/>
          <w:sz w:val="40"/>
        </w:rPr>
      </w:pPr>
      <w:r w:rsidRPr="00F205A9">
        <w:rPr>
          <w:rFonts w:asciiTheme="minorHAnsi" w:hAnsiTheme="minorHAnsi" w:cstheme="minorHAnsi"/>
          <w:b/>
          <w:color w:val="auto"/>
          <w:sz w:val="22"/>
        </w:rPr>
        <w:br w:type="page"/>
      </w:r>
    </w:p>
    <w:p w14:paraId="61ACEAEF" w14:textId="77777777" w:rsidR="00073DE0" w:rsidRPr="00FE66C5" w:rsidRDefault="00073DE0" w:rsidP="00671995">
      <w:pPr>
        <w:pStyle w:val="Titre1"/>
      </w:pPr>
      <w:bookmarkStart w:id="8" w:name="_Toc400552451"/>
      <w:r w:rsidRPr="00FE66C5">
        <w:lastRenderedPageBreak/>
        <w:t xml:space="preserve">ANNEXE </w:t>
      </w:r>
      <w:r w:rsidR="0041568B">
        <w:t>6</w:t>
      </w:r>
      <w:r w:rsidRPr="00FE66C5">
        <w:t xml:space="preserve"> : </w:t>
      </w:r>
      <w:r w:rsidR="00171531">
        <w:t>D</w:t>
      </w:r>
      <w:r>
        <w:t>ébouclage de l’opération</w:t>
      </w:r>
      <w:r w:rsidR="00171531">
        <w:t xml:space="preserve"> et pénalités de retard</w:t>
      </w:r>
      <w:bookmarkEnd w:id="8"/>
    </w:p>
    <w:p w14:paraId="41BDAD7D" w14:textId="77777777" w:rsidR="003C6EC9" w:rsidRPr="00095511" w:rsidRDefault="003C6EC9" w:rsidP="00095511">
      <w:pPr>
        <w:jc w:val="both"/>
        <w:rPr>
          <w:sz w:val="24"/>
        </w:rPr>
      </w:pPr>
      <w:r w:rsidRPr="003C6EC9">
        <w:rPr>
          <w:sz w:val="24"/>
        </w:rPr>
        <w:t>La rémunération af</w:t>
      </w:r>
      <w:r>
        <w:rPr>
          <w:sz w:val="24"/>
        </w:rPr>
        <w:t>fe</w:t>
      </w:r>
      <w:r w:rsidRPr="003C6EC9">
        <w:rPr>
          <w:sz w:val="24"/>
        </w:rPr>
        <w:t>ctée</w:t>
      </w:r>
      <w:r>
        <w:rPr>
          <w:sz w:val="24"/>
        </w:rPr>
        <w:t xml:space="preserve"> au débouclage de l’opération s’entend comme étant la fraction de la rémunération qui entend rémunérer la phase de débouclage de l’opération telle que décrite à l’article </w:t>
      </w:r>
      <w:r w:rsidR="006408CE">
        <w:rPr>
          <w:sz w:val="24"/>
        </w:rPr>
        <w:t>7</w:t>
      </w:r>
      <w:r>
        <w:rPr>
          <w:sz w:val="24"/>
        </w:rPr>
        <w:t xml:space="preserve"> de l’accord-cadre.</w:t>
      </w:r>
      <w:r w:rsidRPr="003C6EC9">
        <w:rPr>
          <w:sz w:val="24"/>
        </w:rPr>
        <w:t xml:space="preserve"> </w:t>
      </w:r>
      <w:r>
        <w:rPr>
          <w:sz w:val="24"/>
        </w:rPr>
        <w:t>Elle est exprimée en pourcentage de la rémunération globale :</w:t>
      </w:r>
    </w:p>
    <w:tbl>
      <w:tblPr>
        <w:tblStyle w:val="Grilledutableau"/>
        <w:tblW w:w="0" w:type="auto"/>
        <w:jc w:val="center"/>
        <w:tblLook w:val="04A0" w:firstRow="1" w:lastRow="0" w:firstColumn="1" w:lastColumn="0" w:noHBand="0" w:noVBand="1"/>
      </w:tblPr>
      <w:tblGrid>
        <w:gridCol w:w="5985"/>
        <w:gridCol w:w="2582"/>
      </w:tblGrid>
      <w:tr w:rsidR="003C6EC9" w14:paraId="3FCFEC8C" w14:textId="77777777" w:rsidTr="00171531">
        <w:trPr>
          <w:trHeight w:val="1534"/>
          <w:jc w:val="center"/>
        </w:trPr>
        <w:tc>
          <w:tcPr>
            <w:tcW w:w="5985" w:type="dxa"/>
            <w:vAlign w:val="center"/>
          </w:tcPr>
          <w:p w14:paraId="24B56602" w14:textId="77777777" w:rsidR="003C6EC9" w:rsidRPr="00095511" w:rsidRDefault="003C6EC9" w:rsidP="00171531">
            <w:pPr>
              <w:rPr>
                <w:b/>
                <w:sz w:val="28"/>
              </w:rPr>
            </w:pPr>
            <w:r w:rsidRPr="00095511">
              <w:rPr>
                <w:b/>
                <w:sz w:val="28"/>
              </w:rPr>
              <w:t>Rémunération affectée au débouclage de l’opération :</w:t>
            </w:r>
          </w:p>
          <w:p w14:paraId="5E172D25" w14:textId="77777777" w:rsidR="003C6EC9" w:rsidRPr="00095511" w:rsidRDefault="003C6EC9" w:rsidP="00171531">
            <w:pPr>
              <w:rPr>
                <w:i/>
                <w:sz w:val="28"/>
              </w:rPr>
            </w:pPr>
            <w:r w:rsidRPr="00095511">
              <w:rPr>
                <w:i/>
                <w:sz w:val="24"/>
              </w:rPr>
              <w:t>(ce taux correspond au pourcentage de l</w:t>
            </w:r>
            <w:r w:rsidR="00095511" w:rsidRPr="00095511">
              <w:rPr>
                <w:i/>
                <w:sz w:val="24"/>
              </w:rPr>
              <w:t>a rémunération globale qui couvre l’ensemble des prestations devant être réalisées pour déboucler l’opération)</w:t>
            </w:r>
          </w:p>
        </w:tc>
        <w:tc>
          <w:tcPr>
            <w:tcW w:w="2582" w:type="dxa"/>
            <w:vAlign w:val="center"/>
          </w:tcPr>
          <w:p w14:paraId="3A2BDD27" w14:textId="77777777" w:rsidR="003C6EC9" w:rsidRPr="00CC54DD" w:rsidRDefault="003C6EC9" w:rsidP="00171531">
            <w:pPr>
              <w:jc w:val="right"/>
              <w:rPr>
                <w:b/>
                <w:sz w:val="52"/>
              </w:rPr>
            </w:pPr>
            <w:r w:rsidRPr="00095511">
              <w:rPr>
                <w:b/>
                <w:sz w:val="52"/>
              </w:rPr>
              <w:t>%</w:t>
            </w:r>
          </w:p>
        </w:tc>
      </w:tr>
    </w:tbl>
    <w:p w14:paraId="26B2865C" w14:textId="77777777" w:rsidR="003C6EC9" w:rsidRDefault="003C6EC9" w:rsidP="0041568B"/>
    <w:p w14:paraId="29D9468C" w14:textId="77777777" w:rsidR="006B730A" w:rsidRPr="006B730A" w:rsidRDefault="006B730A" w:rsidP="0041568B">
      <w:pPr>
        <w:rPr>
          <w:sz w:val="24"/>
          <w:szCs w:val="24"/>
        </w:rPr>
      </w:pPr>
      <w:r w:rsidRPr="006B730A">
        <w:rPr>
          <w:sz w:val="24"/>
          <w:szCs w:val="24"/>
        </w:rPr>
        <w:t xml:space="preserve">Le candidat s’engage à séquestrer la rémunération affectée au débouclage de l’opération auprès d’un organisme habilité : </w:t>
      </w:r>
    </w:p>
    <w:p w14:paraId="0F743B82" w14:textId="77777777" w:rsidR="006B730A" w:rsidRPr="006B730A" w:rsidRDefault="006B730A" w:rsidP="006B730A">
      <w:pPr>
        <w:jc w:val="center"/>
        <w:rPr>
          <w:sz w:val="28"/>
        </w:rPr>
      </w:pPr>
      <w:r w:rsidRPr="006B730A">
        <w:rPr>
          <w:b/>
          <w:sz w:val="36"/>
        </w:rPr>
        <w:t>oui</w:t>
      </w:r>
      <w:r w:rsidR="00101236">
        <w:rPr>
          <w:sz w:val="28"/>
        </w:rPr>
        <w:t xml:space="preserve"> </w:t>
      </w:r>
      <w:r w:rsidR="006408CE">
        <w:rPr>
          <w:sz w:val="28"/>
        </w:rPr>
        <w:t xml:space="preserve">   </w:t>
      </w:r>
      <w:r>
        <w:rPr>
          <w:sz w:val="28"/>
        </w:rPr>
        <w:t xml:space="preserve"> </w:t>
      </w:r>
      <w:r w:rsidRPr="006B730A">
        <w:rPr>
          <w:sz w:val="28"/>
        </w:rPr>
        <w:sym w:font="Webdings" w:char="F063"/>
      </w:r>
      <w:r w:rsidR="00101236">
        <w:rPr>
          <w:sz w:val="28"/>
        </w:rPr>
        <w:t xml:space="preserve"> </w:t>
      </w:r>
      <w:r w:rsidRPr="006B730A">
        <w:rPr>
          <w:sz w:val="28"/>
        </w:rPr>
        <w:tab/>
      </w:r>
      <w:r w:rsidRPr="006B730A">
        <w:rPr>
          <w:sz w:val="28"/>
        </w:rPr>
        <w:tab/>
      </w:r>
      <w:r w:rsidRPr="006B730A">
        <w:rPr>
          <w:sz w:val="28"/>
        </w:rPr>
        <w:tab/>
      </w:r>
      <w:r w:rsidRPr="006B730A">
        <w:rPr>
          <w:sz w:val="28"/>
        </w:rPr>
        <w:tab/>
      </w:r>
      <w:r w:rsidRPr="006B730A">
        <w:rPr>
          <w:b/>
          <w:sz w:val="36"/>
        </w:rPr>
        <w:t>non</w:t>
      </w:r>
      <w:r w:rsidR="00101236">
        <w:rPr>
          <w:b/>
          <w:sz w:val="36"/>
        </w:rPr>
        <w:t xml:space="preserve"> </w:t>
      </w:r>
      <w:r w:rsidR="006408CE">
        <w:rPr>
          <w:b/>
          <w:sz w:val="36"/>
        </w:rPr>
        <w:t xml:space="preserve">   </w:t>
      </w:r>
      <w:r w:rsidRPr="006B730A">
        <w:rPr>
          <w:sz w:val="28"/>
        </w:rPr>
        <w:sym w:font="Webdings" w:char="F063"/>
      </w:r>
    </w:p>
    <w:p w14:paraId="791BAB1C" w14:textId="03ECED9C" w:rsidR="0041568B" w:rsidRPr="004B10CA" w:rsidRDefault="0041568B" w:rsidP="0041568B">
      <w:pPr>
        <w:jc w:val="both"/>
        <w:rPr>
          <w:sz w:val="24"/>
          <w:highlight w:val="magenta"/>
        </w:rPr>
      </w:pPr>
      <w:r w:rsidRPr="004B10CA">
        <w:rPr>
          <w:sz w:val="24"/>
        </w:rPr>
        <w:t xml:space="preserve">Le délai </w:t>
      </w:r>
      <w:r w:rsidR="00A54F47">
        <w:rPr>
          <w:sz w:val="24"/>
        </w:rPr>
        <w:t>maximal</w:t>
      </w:r>
      <w:r w:rsidRPr="004B10CA">
        <w:rPr>
          <w:sz w:val="24"/>
        </w:rPr>
        <w:t xml:space="preserve"> de </w:t>
      </w:r>
      <w:r w:rsidR="004B10CA" w:rsidRPr="004B10CA">
        <w:rPr>
          <w:sz w:val="24"/>
        </w:rPr>
        <w:t>débouclage de l’opération</w:t>
      </w:r>
      <w:r w:rsidRPr="004B10CA">
        <w:rPr>
          <w:sz w:val="24"/>
        </w:rPr>
        <w:t xml:space="preserve"> s’entend comme étant le délai décompté à partir </w:t>
      </w:r>
      <w:r w:rsidR="003C6EC9">
        <w:rPr>
          <w:sz w:val="24"/>
        </w:rPr>
        <w:t>de la fin de la durée de portage minimum fixée pour les opérat</w:t>
      </w:r>
      <w:r w:rsidR="003C6EC9" w:rsidRPr="003C6EC9">
        <w:rPr>
          <w:sz w:val="24"/>
        </w:rPr>
        <w:t xml:space="preserve">ions visées à l’article 199 </w:t>
      </w:r>
      <w:proofErr w:type="spellStart"/>
      <w:r w:rsidR="003C6EC9" w:rsidRPr="003C6EC9">
        <w:rPr>
          <w:sz w:val="24"/>
        </w:rPr>
        <w:t>undecies</w:t>
      </w:r>
      <w:proofErr w:type="spellEnd"/>
      <w:r w:rsidR="003C6EC9" w:rsidRPr="003C6EC9">
        <w:rPr>
          <w:sz w:val="24"/>
        </w:rPr>
        <w:t xml:space="preserve"> C ou à l’article </w:t>
      </w:r>
      <w:r w:rsidR="001F5308">
        <w:rPr>
          <w:sz w:val="24"/>
        </w:rPr>
        <w:t>244 quarter Y</w:t>
      </w:r>
      <w:r w:rsidR="003C6EC9" w:rsidRPr="003C6EC9">
        <w:rPr>
          <w:sz w:val="24"/>
        </w:rPr>
        <w:t xml:space="preserve"> du code général des impôts</w:t>
      </w:r>
      <w:r w:rsidR="00BE709C">
        <w:rPr>
          <w:sz w:val="24"/>
        </w:rPr>
        <w:t xml:space="preserve"> </w:t>
      </w:r>
      <w:r w:rsidRPr="003C6EC9">
        <w:rPr>
          <w:sz w:val="24"/>
        </w:rPr>
        <w:t>au-delà duquel des pénalités seront exigibles.</w:t>
      </w:r>
      <w:r w:rsidR="004B10CA" w:rsidRPr="003C6EC9">
        <w:rPr>
          <w:sz w:val="24"/>
        </w:rPr>
        <w:t xml:space="preserve"> </w:t>
      </w:r>
    </w:p>
    <w:tbl>
      <w:tblPr>
        <w:tblStyle w:val="Grilledutableau"/>
        <w:tblW w:w="0" w:type="auto"/>
        <w:jc w:val="center"/>
        <w:tblLook w:val="04A0" w:firstRow="1" w:lastRow="0" w:firstColumn="1" w:lastColumn="0" w:noHBand="0" w:noVBand="1"/>
      </w:tblPr>
      <w:tblGrid>
        <w:gridCol w:w="5985"/>
        <w:gridCol w:w="2268"/>
      </w:tblGrid>
      <w:tr w:rsidR="0041568B" w:rsidRPr="00095511" w14:paraId="00A6E449" w14:textId="77777777" w:rsidTr="004B10CA">
        <w:trPr>
          <w:trHeight w:val="1604"/>
          <w:jc w:val="center"/>
        </w:trPr>
        <w:tc>
          <w:tcPr>
            <w:tcW w:w="5985" w:type="dxa"/>
            <w:vAlign w:val="center"/>
          </w:tcPr>
          <w:p w14:paraId="35805CEA" w14:textId="77777777" w:rsidR="0041568B" w:rsidRPr="00095511" w:rsidRDefault="0041568B" w:rsidP="004B10CA">
            <w:pPr>
              <w:rPr>
                <w:b/>
                <w:sz w:val="28"/>
              </w:rPr>
            </w:pPr>
            <w:r w:rsidRPr="00095511">
              <w:rPr>
                <w:b/>
                <w:sz w:val="28"/>
              </w:rPr>
              <w:t xml:space="preserve">Délai </w:t>
            </w:r>
            <w:r w:rsidR="00A54F47">
              <w:rPr>
                <w:b/>
                <w:sz w:val="28"/>
              </w:rPr>
              <w:t>maximal</w:t>
            </w:r>
            <w:r w:rsidRPr="00095511">
              <w:rPr>
                <w:b/>
                <w:sz w:val="28"/>
              </w:rPr>
              <w:t xml:space="preserve"> de </w:t>
            </w:r>
            <w:r w:rsidR="004B10CA" w:rsidRPr="00095511">
              <w:rPr>
                <w:b/>
                <w:sz w:val="28"/>
              </w:rPr>
              <w:t>débouclage de l’opération</w:t>
            </w:r>
            <w:r w:rsidRPr="00095511">
              <w:rPr>
                <w:b/>
                <w:sz w:val="28"/>
              </w:rPr>
              <w:t xml:space="preserve"> : </w:t>
            </w:r>
          </w:p>
        </w:tc>
        <w:tc>
          <w:tcPr>
            <w:tcW w:w="2268" w:type="dxa"/>
            <w:vAlign w:val="center"/>
          </w:tcPr>
          <w:p w14:paraId="18794DB5" w14:textId="77777777" w:rsidR="0041568B" w:rsidRPr="00095511" w:rsidRDefault="0041568B" w:rsidP="00171531">
            <w:pPr>
              <w:jc w:val="right"/>
              <w:rPr>
                <w:b/>
                <w:sz w:val="52"/>
              </w:rPr>
            </w:pPr>
            <w:r w:rsidRPr="00095511">
              <w:rPr>
                <w:b/>
                <w:sz w:val="52"/>
              </w:rPr>
              <w:t>mois</w:t>
            </w:r>
          </w:p>
        </w:tc>
      </w:tr>
    </w:tbl>
    <w:p w14:paraId="1D907B98" w14:textId="77777777" w:rsidR="003C6EC9" w:rsidRDefault="003C6EC9" w:rsidP="0041568B">
      <w:pPr>
        <w:jc w:val="both"/>
        <w:rPr>
          <w:highlight w:val="magenta"/>
        </w:rPr>
      </w:pPr>
    </w:p>
    <w:p w14:paraId="4AE23D1A" w14:textId="77777777" w:rsidR="00095511" w:rsidRPr="00095511" w:rsidRDefault="00095511" w:rsidP="00095511">
      <w:pPr>
        <w:jc w:val="both"/>
        <w:rPr>
          <w:sz w:val="24"/>
        </w:rPr>
      </w:pPr>
      <w:r w:rsidRPr="004B10CA">
        <w:rPr>
          <w:sz w:val="24"/>
        </w:rPr>
        <w:t>Les pénalités de retard</w:t>
      </w:r>
      <w:r>
        <w:rPr>
          <w:sz w:val="24"/>
        </w:rPr>
        <w:t>,</w:t>
      </w:r>
      <w:r w:rsidRPr="004B10CA">
        <w:rPr>
          <w:sz w:val="24"/>
        </w:rPr>
        <w:t xml:space="preserve"> </w:t>
      </w:r>
      <w:r>
        <w:rPr>
          <w:sz w:val="24"/>
        </w:rPr>
        <w:t xml:space="preserve">qui seront accordées au FCH en cas de dépassement du délai </w:t>
      </w:r>
      <w:r w:rsidR="00A54F47">
        <w:rPr>
          <w:sz w:val="24"/>
        </w:rPr>
        <w:t>maximal</w:t>
      </w:r>
      <w:r>
        <w:rPr>
          <w:sz w:val="24"/>
        </w:rPr>
        <w:t xml:space="preserve"> de débouclage de l’opération mentionné ci-dessus, </w:t>
      </w:r>
      <w:r w:rsidRPr="004B10CA">
        <w:rPr>
          <w:sz w:val="24"/>
        </w:rPr>
        <w:t xml:space="preserve">se composeront d’une indemnité exprimée </w:t>
      </w:r>
      <w:r>
        <w:rPr>
          <w:sz w:val="24"/>
        </w:rPr>
        <w:t>en fraction de la rémunération affectée au débouclage de l’opération</w:t>
      </w:r>
      <w:r w:rsidRPr="004B10CA">
        <w:rPr>
          <w:sz w:val="24"/>
        </w:rPr>
        <w:t>.</w:t>
      </w:r>
    </w:p>
    <w:tbl>
      <w:tblPr>
        <w:tblStyle w:val="Grilledutableau"/>
        <w:tblW w:w="0" w:type="auto"/>
        <w:jc w:val="center"/>
        <w:tblLook w:val="04A0" w:firstRow="1" w:lastRow="0" w:firstColumn="1" w:lastColumn="0" w:noHBand="0" w:noVBand="1"/>
      </w:tblPr>
      <w:tblGrid>
        <w:gridCol w:w="5985"/>
        <w:gridCol w:w="2582"/>
      </w:tblGrid>
      <w:tr w:rsidR="004B10CA" w14:paraId="28502EBF" w14:textId="77777777" w:rsidTr="00171531">
        <w:trPr>
          <w:trHeight w:val="1534"/>
          <w:jc w:val="center"/>
        </w:trPr>
        <w:tc>
          <w:tcPr>
            <w:tcW w:w="5985" w:type="dxa"/>
            <w:vAlign w:val="center"/>
          </w:tcPr>
          <w:p w14:paraId="644EED57" w14:textId="77777777" w:rsidR="004B10CA" w:rsidRPr="00671995" w:rsidRDefault="00671995" w:rsidP="00671995">
            <w:pPr>
              <w:rPr>
                <w:b/>
                <w:sz w:val="28"/>
              </w:rPr>
            </w:pPr>
            <w:r w:rsidRPr="00671995">
              <w:rPr>
                <w:b/>
                <w:sz w:val="28"/>
              </w:rPr>
              <w:t xml:space="preserve">Part de la rémunération affectée au débouclage de l’opération qui servira d’indemnité en cas de dépassement du délai </w:t>
            </w:r>
            <w:r w:rsidR="00A54F47">
              <w:rPr>
                <w:b/>
                <w:sz w:val="28"/>
              </w:rPr>
              <w:t>maximal</w:t>
            </w:r>
            <w:r w:rsidRPr="00671995">
              <w:rPr>
                <w:b/>
                <w:sz w:val="28"/>
              </w:rPr>
              <w:t xml:space="preserve"> de débouclage de l’opération</w:t>
            </w:r>
            <w:r w:rsidR="004B10CA" w:rsidRPr="00671995">
              <w:rPr>
                <w:b/>
                <w:sz w:val="28"/>
              </w:rPr>
              <w:t> :</w:t>
            </w:r>
          </w:p>
        </w:tc>
        <w:tc>
          <w:tcPr>
            <w:tcW w:w="2582" w:type="dxa"/>
            <w:vAlign w:val="center"/>
          </w:tcPr>
          <w:p w14:paraId="42F41180" w14:textId="77777777" w:rsidR="004B10CA" w:rsidRPr="00671995" w:rsidRDefault="004B10CA" w:rsidP="00171531">
            <w:pPr>
              <w:jc w:val="right"/>
              <w:rPr>
                <w:b/>
                <w:sz w:val="52"/>
              </w:rPr>
            </w:pPr>
            <w:r w:rsidRPr="00671995">
              <w:rPr>
                <w:b/>
                <w:sz w:val="52"/>
              </w:rPr>
              <w:t>%</w:t>
            </w:r>
          </w:p>
        </w:tc>
      </w:tr>
    </w:tbl>
    <w:p w14:paraId="271E27A9" w14:textId="77777777" w:rsidR="00073DE0" w:rsidRDefault="00073DE0" w:rsidP="0041568B"/>
    <w:bookmarkEnd w:id="3"/>
    <w:p w14:paraId="4AE442CE" w14:textId="77777777" w:rsidR="00073DE0" w:rsidRDefault="00073DE0" w:rsidP="0041568B">
      <w:pPr>
        <w:rPr>
          <w:rFonts w:asciiTheme="majorHAnsi" w:eastAsiaTheme="majorEastAsia" w:hAnsiTheme="majorHAnsi" w:cstheme="majorBidi"/>
          <w:b/>
          <w:color w:val="17365D" w:themeColor="text2" w:themeShade="BF"/>
          <w:spacing w:val="5"/>
          <w:kern w:val="28"/>
          <w:sz w:val="40"/>
          <w:szCs w:val="52"/>
        </w:rPr>
      </w:pPr>
    </w:p>
    <w:sectPr w:rsidR="00073DE0" w:rsidSect="005434E7">
      <w:footerReference w:type="default" r:id="rId8"/>
      <w:pgSz w:w="11906" w:h="16838"/>
      <w:pgMar w:top="1418" w:right="1418" w:bottom="1418" w:left="1418"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41D7" w14:textId="77777777" w:rsidR="005F09D7" w:rsidRDefault="005F09D7" w:rsidP="008B641A">
      <w:pPr>
        <w:spacing w:after="0" w:line="240" w:lineRule="auto"/>
      </w:pPr>
      <w:r>
        <w:separator/>
      </w:r>
    </w:p>
  </w:endnote>
  <w:endnote w:type="continuationSeparator" w:id="0">
    <w:p w14:paraId="6857C9EB" w14:textId="77777777" w:rsidR="005F09D7" w:rsidRDefault="005F09D7" w:rsidP="008B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bles">
    <w:altName w:val="Times New Roman"/>
    <w:charset w:val="00"/>
    <w:family w:val="auto"/>
    <w:pitch w:val="variable"/>
    <w:sig w:usb0="00000001" w:usb1="500078F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58593"/>
      <w:docPartObj>
        <w:docPartGallery w:val="Page Numbers (Bottom of Page)"/>
        <w:docPartUnique/>
      </w:docPartObj>
    </w:sdtPr>
    <w:sdtEndPr/>
    <w:sdtContent>
      <w:p w14:paraId="59A3AB09" w14:textId="77777777" w:rsidR="005F09D7" w:rsidRDefault="005F09D7">
        <w:pPr>
          <w:pStyle w:val="Pieddepage"/>
        </w:pPr>
        <w:r>
          <w:rPr>
            <w:noProof/>
            <w:lang w:eastAsia="fr-FR"/>
          </w:rPr>
          <mc:AlternateContent>
            <mc:Choice Requires="wpg">
              <w:drawing>
                <wp:anchor distT="0" distB="0" distL="114300" distR="114300" simplePos="0" relativeHeight="251659264" behindDoc="0" locked="0" layoutInCell="1" allowOverlap="1" wp14:anchorId="6BEAF7EA" wp14:editId="3035C432">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9B47321" w14:textId="56DF179A" w:rsidR="005F09D7" w:rsidRPr="008B641A" w:rsidRDefault="005F09D7">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1F5308">
                                  <w:rPr>
                                    <w:noProof/>
                                    <w:sz w:val="24"/>
                                    <w:szCs w:val="32"/>
                                  </w:rPr>
                                  <w:t>18</w:t>
                                </w:r>
                                <w:r w:rsidRPr="008B641A">
                                  <w:rPr>
                                    <w:sz w:val="24"/>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AF7EA"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19B47321" w14:textId="56DF179A" w:rsidR="005F09D7" w:rsidRPr="008B641A" w:rsidRDefault="005F09D7">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1F5308">
                            <w:rPr>
                              <w:noProof/>
                              <w:sz w:val="24"/>
                              <w:szCs w:val="32"/>
                            </w:rPr>
                            <w:t>18</w:t>
                          </w:r>
                          <w:r w:rsidRPr="008B641A">
                            <w:rPr>
                              <w:sz w:val="24"/>
                              <w:szCs w:val="32"/>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070E" w14:textId="77777777" w:rsidR="005F09D7" w:rsidRDefault="005F09D7" w:rsidP="008B641A">
      <w:pPr>
        <w:spacing w:after="0" w:line="240" w:lineRule="auto"/>
      </w:pPr>
      <w:r>
        <w:separator/>
      </w:r>
    </w:p>
  </w:footnote>
  <w:footnote w:type="continuationSeparator" w:id="0">
    <w:p w14:paraId="1FB83F3C" w14:textId="77777777" w:rsidR="005F09D7" w:rsidRDefault="005F09D7" w:rsidP="008B6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E70"/>
    <w:multiLevelType w:val="hybridMultilevel"/>
    <w:tmpl w:val="35CC5FF6"/>
    <w:lvl w:ilvl="0" w:tplc="B9CC4F2E">
      <w:start w:val="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B790C"/>
    <w:multiLevelType w:val="hybridMultilevel"/>
    <w:tmpl w:val="474EE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82878"/>
    <w:multiLevelType w:val="hybridMultilevel"/>
    <w:tmpl w:val="72C2E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5B03C7"/>
    <w:multiLevelType w:val="hybridMultilevel"/>
    <w:tmpl w:val="B900D474"/>
    <w:lvl w:ilvl="0" w:tplc="3EB8AB74">
      <w:start w:val="1"/>
      <w:numFmt w:val="upperLetter"/>
      <w:pStyle w:val="Titre3"/>
      <w:lvlText w:val="%1."/>
      <w:lvlJc w:val="left"/>
      <w:pPr>
        <w:ind w:left="1428" w:hanging="360"/>
      </w:pPr>
    </w:lvl>
    <w:lvl w:ilvl="1" w:tplc="3FB2FD38">
      <w:start w:val="7"/>
      <w:numFmt w:val="bullet"/>
      <w:lvlText w:val="•"/>
      <w:lvlJc w:val="left"/>
      <w:pPr>
        <w:ind w:left="2148" w:hanging="360"/>
      </w:pPr>
      <w:rPr>
        <w:rFonts w:ascii="Calibri" w:eastAsiaTheme="minorHAnsi" w:hAnsi="Calibri" w:cs="Calibri" w:hint="default"/>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4DA62451"/>
    <w:multiLevelType w:val="hybridMultilevel"/>
    <w:tmpl w:val="B1CA2328"/>
    <w:lvl w:ilvl="0" w:tplc="3F228C2A">
      <w:start w:val="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0EA63B1"/>
    <w:multiLevelType w:val="hybridMultilevel"/>
    <w:tmpl w:val="9F4E1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C41A82"/>
    <w:multiLevelType w:val="hybridMultilevel"/>
    <w:tmpl w:val="76E0115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6171646F"/>
    <w:multiLevelType w:val="hybridMultilevel"/>
    <w:tmpl w:val="A3D6EED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FD66FA"/>
    <w:multiLevelType w:val="hybridMultilevel"/>
    <w:tmpl w:val="4282D904"/>
    <w:lvl w:ilvl="0" w:tplc="92F2C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370662"/>
    <w:multiLevelType w:val="hybridMultilevel"/>
    <w:tmpl w:val="F7087400"/>
    <w:lvl w:ilvl="0" w:tplc="B9CC4F2E">
      <w:start w:val="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61025FE"/>
    <w:multiLevelType w:val="hybridMultilevel"/>
    <w:tmpl w:val="3E00F6DA"/>
    <w:lvl w:ilvl="0" w:tplc="B4D037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8C796A"/>
    <w:multiLevelType w:val="hybridMultilevel"/>
    <w:tmpl w:val="AD2C0850"/>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7EB77CBF"/>
    <w:multiLevelType w:val="hybridMultilevel"/>
    <w:tmpl w:val="14E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lvlOverride w:ilvl="0">
      <w:startOverride w:val="1"/>
    </w:lvlOverride>
  </w:num>
  <w:num w:numId="4">
    <w:abstractNumId w:val="3"/>
    <w:lvlOverride w:ilvl="0">
      <w:startOverride w:val="1"/>
    </w:lvlOverride>
  </w:num>
  <w:num w:numId="5">
    <w:abstractNumId w:val="3"/>
  </w:num>
  <w:num w:numId="6">
    <w:abstractNumId w:val="3"/>
    <w:lvlOverride w:ilvl="0">
      <w:startOverride w:val="1"/>
    </w:lvlOverride>
  </w:num>
  <w:num w:numId="7">
    <w:abstractNumId w:val="3"/>
  </w:num>
  <w:num w:numId="8">
    <w:abstractNumId w:val="3"/>
    <w:lvlOverride w:ilvl="0">
      <w:startOverride w:val="1"/>
    </w:lvlOverride>
  </w:num>
  <w:num w:numId="9">
    <w:abstractNumId w:val="1"/>
  </w:num>
  <w:num w:numId="10">
    <w:abstractNumId w:val="8"/>
    <w:lvlOverride w:ilvl="0">
      <w:startOverride w:val="1"/>
    </w:lvlOverride>
  </w:num>
  <w:num w:numId="11">
    <w:abstractNumId w:val="4"/>
  </w:num>
  <w:num w:numId="12">
    <w:abstractNumId w:val="3"/>
    <w:lvlOverride w:ilvl="0">
      <w:startOverride w:val="1"/>
    </w:lvlOverride>
  </w:num>
  <w:num w:numId="13">
    <w:abstractNumId w:val="6"/>
  </w:num>
  <w:num w:numId="14">
    <w:abstractNumId w:val="9"/>
  </w:num>
  <w:num w:numId="15">
    <w:abstractNumId w:val="3"/>
    <w:lvlOverride w:ilvl="0">
      <w:startOverride w:val="1"/>
    </w:lvlOverride>
  </w:num>
  <w:num w:numId="16">
    <w:abstractNumId w:val="11"/>
  </w:num>
  <w:num w:numId="17">
    <w:abstractNumId w:val="0"/>
  </w:num>
  <w:num w:numId="18">
    <w:abstractNumId w:val="7"/>
  </w:num>
  <w:num w:numId="19">
    <w:abstractNumId w:val="5"/>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64"/>
    <w:rsid w:val="00022CC5"/>
    <w:rsid w:val="00024246"/>
    <w:rsid w:val="000425DE"/>
    <w:rsid w:val="00062DA1"/>
    <w:rsid w:val="00073DE0"/>
    <w:rsid w:val="00081285"/>
    <w:rsid w:val="00091ACB"/>
    <w:rsid w:val="00095511"/>
    <w:rsid w:val="00095F4D"/>
    <w:rsid w:val="000A1373"/>
    <w:rsid w:val="000A56F7"/>
    <w:rsid w:val="000B3358"/>
    <w:rsid w:val="000C0B02"/>
    <w:rsid w:val="000C7CF1"/>
    <w:rsid w:val="000D323C"/>
    <w:rsid w:val="000D4A2E"/>
    <w:rsid w:val="000D6736"/>
    <w:rsid w:val="000F5D9D"/>
    <w:rsid w:val="00101236"/>
    <w:rsid w:val="001117AC"/>
    <w:rsid w:val="00116699"/>
    <w:rsid w:val="00171531"/>
    <w:rsid w:val="0017732E"/>
    <w:rsid w:val="001774AF"/>
    <w:rsid w:val="001A032E"/>
    <w:rsid w:val="001B461A"/>
    <w:rsid w:val="001C6B1B"/>
    <w:rsid w:val="001E290D"/>
    <w:rsid w:val="001E326C"/>
    <w:rsid w:val="001F5308"/>
    <w:rsid w:val="001F5631"/>
    <w:rsid w:val="00206F42"/>
    <w:rsid w:val="00207979"/>
    <w:rsid w:val="00207CB7"/>
    <w:rsid w:val="00213145"/>
    <w:rsid w:val="00244998"/>
    <w:rsid w:val="00250EC5"/>
    <w:rsid w:val="00263C74"/>
    <w:rsid w:val="00280461"/>
    <w:rsid w:val="00282D5A"/>
    <w:rsid w:val="002A5841"/>
    <w:rsid w:val="002C681C"/>
    <w:rsid w:val="002E3C19"/>
    <w:rsid w:val="002F7C4C"/>
    <w:rsid w:val="003603F3"/>
    <w:rsid w:val="0039362B"/>
    <w:rsid w:val="00393A15"/>
    <w:rsid w:val="003C3F66"/>
    <w:rsid w:val="003C6EC9"/>
    <w:rsid w:val="003D6A69"/>
    <w:rsid w:val="003D7525"/>
    <w:rsid w:val="003E31D7"/>
    <w:rsid w:val="0040558D"/>
    <w:rsid w:val="0041568B"/>
    <w:rsid w:val="00417ECA"/>
    <w:rsid w:val="00422656"/>
    <w:rsid w:val="00454A3C"/>
    <w:rsid w:val="00471410"/>
    <w:rsid w:val="004739D1"/>
    <w:rsid w:val="0047501B"/>
    <w:rsid w:val="00475B61"/>
    <w:rsid w:val="0048125A"/>
    <w:rsid w:val="00492903"/>
    <w:rsid w:val="004A54CF"/>
    <w:rsid w:val="004A69F7"/>
    <w:rsid w:val="004B10CA"/>
    <w:rsid w:val="004C28CF"/>
    <w:rsid w:val="004C4A5E"/>
    <w:rsid w:val="004D45E9"/>
    <w:rsid w:val="004F7755"/>
    <w:rsid w:val="00502B55"/>
    <w:rsid w:val="005149A5"/>
    <w:rsid w:val="00521BDF"/>
    <w:rsid w:val="00522CEC"/>
    <w:rsid w:val="00534874"/>
    <w:rsid w:val="005434E7"/>
    <w:rsid w:val="00573085"/>
    <w:rsid w:val="005776BC"/>
    <w:rsid w:val="005814E0"/>
    <w:rsid w:val="005852FA"/>
    <w:rsid w:val="00594EE8"/>
    <w:rsid w:val="00597347"/>
    <w:rsid w:val="005B0C86"/>
    <w:rsid w:val="005F09D7"/>
    <w:rsid w:val="006101ED"/>
    <w:rsid w:val="00620DF2"/>
    <w:rsid w:val="006408CE"/>
    <w:rsid w:val="006635F4"/>
    <w:rsid w:val="00671995"/>
    <w:rsid w:val="00673980"/>
    <w:rsid w:val="006829AB"/>
    <w:rsid w:val="006966CF"/>
    <w:rsid w:val="006969B4"/>
    <w:rsid w:val="006B730A"/>
    <w:rsid w:val="006D7DA4"/>
    <w:rsid w:val="006F2848"/>
    <w:rsid w:val="00700203"/>
    <w:rsid w:val="007110B3"/>
    <w:rsid w:val="00745E65"/>
    <w:rsid w:val="00746507"/>
    <w:rsid w:val="0075338C"/>
    <w:rsid w:val="007E0C5B"/>
    <w:rsid w:val="007E440A"/>
    <w:rsid w:val="00802AFB"/>
    <w:rsid w:val="00810C9D"/>
    <w:rsid w:val="00861151"/>
    <w:rsid w:val="00864609"/>
    <w:rsid w:val="00890D5C"/>
    <w:rsid w:val="008A4602"/>
    <w:rsid w:val="008B641A"/>
    <w:rsid w:val="008C6C9C"/>
    <w:rsid w:val="008F51B5"/>
    <w:rsid w:val="00914F15"/>
    <w:rsid w:val="009358E0"/>
    <w:rsid w:val="009367E7"/>
    <w:rsid w:val="0094274E"/>
    <w:rsid w:val="00943F6D"/>
    <w:rsid w:val="00944134"/>
    <w:rsid w:val="009572F5"/>
    <w:rsid w:val="00975670"/>
    <w:rsid w:val="009801E8"/>
    <w:rsid w:val="0098360C"/>
    <w:rsid w:val="00983CAA"/>
    <w:rsid w:val="00990D34"/>
    <w:rsid w:val="009B55C1"/>
    <w:rsid w:val="009E67FC"/>
    <w:rsid w:val="009F4C19"/>
    <w:rsid w:val="00A0329D"/>
    <w:rsid w:val="00A05364"/>
    <w:rsid w:val="00A16B11"/>
    <w:rsid w:val="00A2410B"/>
    <w:rsid w:val="00A27F4B"/>
    <w:rsid w:val="00A35A65"/>
    <w:rsid w:val="00A46901"/>
    <w:rsid w:val="00A54F47"/>
    <w:rsid w:val="00A729F3"/>
    <w:rsid w:val="00A73A87"/>
    <w:rsid w:val="00A8714A"/>
    <w:rsid w:val="00AB0C58"/>
    <w:rsid w:val="00AB3648"/>
    <w:rsid w:val="00AB3DD0"/>
    <w:rsid w:val="00AE7B93"/>
    <w:rsid w:val="00B01435"/>
    <w:rsid w:val="00B07604"/>
    <w:rsid w:val="00B63068"/>
    <w:rsid w:val="00B712A0"/>
    <w:rsid w:val="00BA6C8E"/>
    <w:rsid w:val="00BC0266"/>
    <w:rsid w:val="00BD3286"/>
    <w:rsid w:val="00BD52E7"/>
    <w:rsid w:val="00BE709C"/>
    <w:rsid w:val="00BF6764"/>
    <w:rsid w:val="00C149F3"/>
    <w:rsid w:val="00C37AEE"/>
    <w:rsid w:val="00C512CC"/>
    <w:rsid w:val="00C81217"/>
    <w:rsid w:val="00C869B8"/>
    <w:rsid w:val="00C97D3B"/>
    <w:rsid w:val="00CB4BB7"/>
    <w:rsid w:val="00CC54DD"/>
    <w:rsid w:val="00CC7230"/>
    <w:rsid w:val="00CD46A6"/>
    <w:rsid w:val="00D05757"/>
    <w:rsid w:val="00D126A9"/>
    <w:rsid w:val="00D2060B"/>
    <w:rsid w:val="00D444C8"/>
    <w:rsid w:val="00D747DB"/>
    <w:rsid w:val="00DC6813"/>
    <w:rsid w:val="00DD6311"/>
    <w:rsid w:val="00DE14AD"/>
    <w:rsid w:val="00E11018"/>
    <w:rsid w:val="00E1273F"/>
    <w:rsid w:val="00E212C9"/>
    <w:rsid w:val="00E229F9"/>
    <w:rsid w:val="00E30968"/>
    <w:rsid w:val="00E41C9F"/>
    <w:rsid w:val="00E532ED"/>
    <w:rsid w:val="00E67387"/>
    <w:rsid w:val="00EF65CE"/>
    <w:rsid w:val="00F0172F"/>
    <w:rsid w:val="00F14DF4"/>
    <w:rsid w:val="00F205A9"/>
    <w:rsid w:val="00F305D4"/>
    <w:rsid w:val="00F37646"/>
    <w:rsid w:val="00F4007B"/>
    <w:rsid w:val="00F46592"/>
    <w:rsid w:val="00F52469"/>
    <w:rsid w:val="00F6421C"/>
    <w:rsid w:val="00F75449"/>
    <w:rsid w:val="00F803F5"/>
    <w:rsid w:val="00F95017"/>
    <w:rsid w:val="00FA6155"/>
    <w:rsid w:val="00FB77E7"/>
    <w:rsid w:val="00FC5620"/>
    <w:rsid w:val="00FD4C3D"/>
    <w:rsid w:val="00FE66C5"/>
    <w:rsid w:val="00FF5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17B402"/>
  <w15:docId w15:val="{7E11D13D-4BBC-4C48-861F-D49F8A2C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
    <w:next w:val="Normal"/>
    <w:link w:val="Titre1Car"/>
    <w:uiPriority w:val="9"/>
    <w:qFormat/>
    <w:rsid w:val="009801E8"/>
    <w:pPr>
      <w:outlineLvl w:val="0"/>
    </w:pPr>
    <w:rPr>
      <w:b/>
      <w:sz w:val="40"/>
    </w:rPr>
  </w:style>
  <w:style w:type="paragraph" w:styleId="Titre2">
    <w:name w:val="heading 2"/>
    <w:basedOn w:val="Normal"/>
    <w:next w:val="Normal"/>
    <w:link w:val="Titre2Car"/>
    <w:uiPriority w:val="9"/>
    <w:unhideWhenUsed/>
    <w:qFormat/>
    <w:rsid w:val="00980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C869B8"/>
    <w:pPr>
      <w:keepNext w:val="0"/>
      <w:keepLines w:val="0"/>
      <w:numPr>
        <w:numId w:val="7"/>
      </w:numPr>
      <w:spacing w:before="0" w:after="300" w:line="240" w:lineRule="auto"/>
      <w:contextualSpacing/>
      <w:outlineLvl w:val="2"/>
    </w:pPr>
    <w:rPr>
      <w:bCs w:val="0"/>
      <w:color w:val="17365D" w:themeColor="text2" w:themeShade="BF"/>
      <w:spacing w:val="5"/>
      <w:kern w:val="28"/>
      <w:sz w:val="24"/>
      <w:szCs w:val="24"/>
    </w:rPr>
  </w:style>
  <w:style w:type="paragraph" w:styleId="Titre7">
    <w:name w:val="heading 7"/>
    <w:basedOn w:val="Normal"/>
    <w:next w:val="Normal"/>
    <w:link w:val="Titre7Car"/>
    <w:uiPriority w:val="9"/>
    <w:semiHidden/>
    <w:unhideWhenUsed/>
    <w:qFormat/>
    <w:rsid w:val="005814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5814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764"/>
    <w:rPr>
      <w:rFonts w:ascii="Tahoma" w:hAnsi="Tahoma" w:cs="Tahoma"/>
      <w:sz w:val="16"/>
      <w:szCs w:val="16"/>
    </w:rPr>
  </w:style>
  <w:style w:type="character" w:styleId="Lienhypertexte">
    <w:name w:val="Hyperlink"/>
    <w:basedOn w:val="Policepardfaut"/>
    <w:uiPriority w:val="99"/>
    <w:unhideWhenUsed/>
    <w:rsid w:val="00BF6764"/>
    <w:rPr>
      <w:color w:val="0000FF" w:themeColor="hyperlink"/>
      <w:u w:val="single"/>
    </w:rPr>
  </w:style>
  <w:style w:type="paragraph" w:styleId="Titre">
    <w:name w:val="Title"/>
    <w:basedOn w:val="Normal"/>
    <w:next w:val="Normal"/>
    <w:link w:val="TitreCar"/>
    <w:uiPriority w:val="10"/>
    <w:qFormat/>
    <w:rsid w:val="00514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49A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801E8"/>
    <w:rPr>
      <w:rFonts w:asciiTheme="majorHAnsi" w:eastAsiaTheme="majorEastAsia" w:hAnsiTheme="majorHAnsi" w:cstheme="majorBidi"/>
      <w:b/>
      <w:color w:val="17365D" w:themeColor="text2" w:themeShade="BF"/>
      <w:spacing w:val="5"/>
      <w:kern w:val="28"/>
      <w:sz w:val="40"/>
      <w:szCs w:val="52"/>
    </w:rPr>
  </w:style>
  <w:style w:type="character" w:customStyle="1" w:styleId="Titre7Car">
    <w:name w:val="Titre 7 Car"/>
    <w:basedOn w:val="Policepardfaut"/>
    <w:link w:val="Titre7"/>
    <w:uiPriority w:val="9"/>
    <w:semiHidden/>
    <w:rsid w:val="005814E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5814E0"/>
    <w:rPr>
      <w:rFonts w:asciiTheme="majorHAnsi" w:eastAsiaTheme="majorEastAsia" w:hAnsiTheme="majorHAnsi" w:cstheme="majorBidi"/>
      <w:color w:val="404040" w:themeColor="text1" w:themeTint="BF"/>
      <w:sz w:val="20"/>
      <w:szCs w:val="20"/>
    </w:rPr>
  </w:style>
  <w:style w:type="paragraph" w:styleId="Corpsdetexte2">
    <w:name w:val="Body Text 2"/>
    <w:basedOn w:val="Normal"/>
    <w:link w:val="Corpsdetexte2Car"/>
    <w:rsid w:val="005814E0"/>
    <w:pPr>
      <w:tabs>
        <w:tab w:val="left" w:pos="284"/>
        <w:tab w:val="left" w:pos="709"/>
        <w:tab w:val="center" w:pos="4536"/>
        <w:tab w:val="right" w:pos="8647"/>
      </w:tabs>
      <w:spacing w:after="0" w:line="240" w:lineRule="auto"/>
    </w:pPr>
    <w:rPr>
      <w:rFonts w:ascii="Bookman Old Style" w:eastAsia="Arial Unicode MS" w:hAnsi="Bookman Old Style" w:cs="Arial Unicode MS"/>
      <w:sz w:val="24"/>
      <w:szCs w:val="24"/>
      <w:lang w:eastAsia="fr-FR"/>
    </w:rPr>
  </w:style>
  <w:style w:type="character" w:customStyle="1" w:styleId="Corpsdetexte2Car">
    <w:name w:val="Corps de texte 2 Car"/>
    <w:basedOn w:val="Policepardfaut"/>
    <w:link w:val="Corpsdetexte2"/>
    <w:rsid w:val="005814E0"/>
    <w:rPr>
      <w:rFonts w:ascii="Bookman Old Style" w:eastAsia="Arial Unicode MS" w:hAnsi="Bookman Old Style" w:cs="Arial Unicode MS"/>
      <w:sz w:val="24"/>
      <w:szCs w:val="24"/>
      <w:lang w:eastAsia="fr-FR"/>
    </w:rPr>
  </w:style>
  <w:style w:type="paragraph" w:styleId="Corpsdetexte3">
    <w:name w:val="Body Text 3"/>
    <w:basedOn w:val="Normal"/>
    <w:link w:val="Corpsdetexte3Car"/>
    <w:rsid w:val="005814E0"/>
    <w:pPr>
      <w:tabs>
        <w:tab w:val="left" w:pos="426"/>
        <w:tab w:val="center" w:pos="4536"/>
        <w:tab w:val="right" w:pos="8647"/>
      </w:tabs>
      <w:spacing w:after="0" w:line="240" w:lineRule="auto"/>
    </w:pPr>
    <w:rPr>
      <w:rFonts w:ascii="Bookman Old Style" w:eastAsia="Arial Unicode MS" w:hAnsi="Bookman Old Style" w:cs="Arial Unicode MS"/>
      <w:szCs w:val="24"/>
      <w:lang w:eastAsia="fr-FR"/>
    </w:rPr>
  </w:style>
  <w:style w:type="character" w:customStyle="1" w:styleId="Corpsdetexte3Car">
    <w:name w:val="Corps de texte 3 Car"/>
    <w:basedOn w:val="Policepardfaut"/>
    <w:link w:val="Corpsdetexte3"/>
    <w:rsid w:val="005814E0"/>
    <w:rPr>
      <w:rFonts w:ascii="Bookman Old Style" w:eastAsia="Arial Unicode MS" w:hAnsi="Bookman Old Style" w:cs="Arial Unicode MS"/>
      <w:szCs w:val="24"/>
      <w:lang w:eastAsia="fr-FR"/>
    </w:rPr>
  </w:style>
  <w:style w:type="paragraph" w:styleId="NormalWeb">
    <w:name w:val="Normal (Web)"/>
    <w:basedOn w:val="Normal"/>
    <w:uiPriority w:val="99"/>
    <w:semiHidden/>
    <w:unhideWhenUsed/>
    <w:rsid w:val="00393A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0558D"/>
    <w:pPr>
      <w:ind w:left="720"/>
      <w:contextualSpacing/>
    </w:pPr>
  </w:style>
  <w:style w:type="paragraph" w:styleId="En-ttedetabledesmatires">
    <w:name w:val="TOC Heading"/>
    <w:basedOn w:val="Titre1"/>
    <w:next w:val="Normal"/>
    <w:uiPriority w:val="39"/>
    <w:unhideWhenUsed/>
    <w:qFormat/>
    <w:rsid w:val="00B07604"/>
    <w:pPr>
      <w:outlineLvl w:val="9"/>
    </w:pPr>
    <w:rPr>
      <w:lang w:eastAsia="fr-FR"/>
    </w:rPr>
  </w:style>
  <w:style w:type="paragraph" w:styleId="TM1">
    <w:name w:val="toc 1"/>
    <w:basedOn w:val="Normal"/>
    <w:next w:val="Normal"/>
    <w:autoRedefine/>
    <w:uiPriority w:val="39"/>
    <w:unhideWhenUsed/>
    <w:qFormat/>
    <w:rsid w:val="00B07604"/>
    <w:pPr>
      <w:spacing w:after="100"/>
    </w:pPr>
  </w:style>
  <w:style w:type="paragraph" w:styleId="TM2">
    <w:name w:val="toc 2"/>
    <w:basedOn w:val="Normal"/>
    <w:next w:val="Normal"/>
    <w:autoRedefine/>
    <w:uiPriority w:val="39"/>
    <w:unhideWhenUsed/>
    <w:qFormat/>
    <w:rsid w:val="00B07604"/>
    <w:pPr>
      <w:spacing w:after="100"/>
      <w:ind w:left="220"/>
    </w:pPr>
    <w:rPr>
      <w:rFonts w:eastAsiaTheme="minorEastAsia"/>
      <w:lang w:eastAsia="fr-FR"/>
    </w:rPr>
  </w:style>
  <w:style w:type="paragraph" w:styleId="TM3">
    <w:name w:val="toc 3"/>
    <w:basedOn w:val="Normal"/>
    <w:next w:val="Normal"/>
    <w:autoRedefine/>
    <w:uiPriority w:val="39"/>
    <w:unhideWhenUsed/>
    <w:qFormat/>
    <w:rsid w:val="00B07604"/>
    <w:pPr>
      <w:spacing w:after="100"/>
      <w:ind w:left="440"/>
    </w:pPr>
    <w:rPr>
      <w:rFonts w:eastAsiaTheme="minorEastAsia"/>
      <w:lang w:eastAsia="fr-FR"/>
    </w:rPr>
  </w:style>
  <w:style w:type="character" w:customStyle="1" w:styleId="Titre2Car">
    <w:name w:val="Titre 2 Car"/>
    <w:basedOn w:val="Policepardfaut"/>
    <w:link w:val="Titre2"/>
    <w:uiPriority w:val="9"/>
    <w:rsid w:val="009801E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69B8"/>
    <w:rPr>
      <w:rFonts w:asciiTheme="majorHAnsi" w:eastAsiaTheme="majorEastAsia" w:hAnsiTheme="majorHAnsi" w:cstheme="majorBidi"/>
      <w:b/>
      <w:color w:val="17365D" w:themeColor="text2" w:themeShade="BF"/>
      <w:spacing w:val="5"/>
      <w:kern w:val="28"/>
      <w:sz w:val="24"/>
      <w:szCs w:val="24"/>
    </w:rPr>
  </w:style>
  <w:style w:type="table" w:styleId="Grilledutableau">
    <w:name w:val="Table Grid"/>
    <w:basedOn w:val="TableauNormal"/>
    <w:uiPriority w:val="59"/>
    <w:rsid w:val="008A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B641A"/>
    <w:pPr>
      <w:tabs>
        <w:tab w:val="center" w:pos="4536"/>
        <w:tab w:val="right" w:pos="9072"/>
      </w:tabs>
      <w:spacing w:after="0" w:line="240" w:lineRule="auto"/>
    </w:pPr>
  </w:style>
  <w:style w:type="character" w:customStyle="1" w:styleId="En-tteCar">
    <w:name w:val="En-tête Car"/>
    <w:basedOn w:val="Policepardfaut"/>
    <w:link w:val="En-tte"/>
    <w:uiPriority w:val="99"/>
    <w:rsid w:val="008B641A"/>
  </w:style>
  <w:style w:type="paragraph" w:styleId="Pieddepage">
    <w:name w:val="footer"/>
    <w:basedOn w:val="Normal"/>
    <w:link w:val="PieddepageCar"/>
    <w:uiPriority w:val="99"/>
    <w:unhideWhenUsed/>
    <w:rsid w:val="008B6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41A"/>
  </w:style>
  <w:style w:type="character" w:styleId="Marquedecommentaire">
    <w:name w:val="annotation reference"/>
    <w:basedOn w:val="Policepardfaut"/>
    <w:uiPriority w:val="99"/>
    <w:semiHidden/>
    <w:unhideWhenUsed/>
    <w:rsid w:val="00091ACB"/>
    <w:rPr>
      <w:sz w:val="16"/>
      <w:szCs w:val="16"/>
    </w:rPr>
  </w:style>
  <w:style w:type="paragraph" w:styleId="Commentaire">
    <w:name w:val="annotation text"/>
    <w:basedOn w:val="Normal"/>
    <w:link w:val="CommentaireCar"/>
    <w:uiPriority w:val="99"/>
    <w:semiHidden/>
    <w:unhideWhenUsed/>
    <w:rsid w:val="00091ACB"/>
    <w:pPr>
      <w:spacing w:line="240" w:lineRule="auto"/>
    </w:pPr>
    <w:rPr>
      <w:sz w:val="20"/>
      <w:szCs w:val="20"/>
    </w:rPr>
  </w:style>
  <w:style w:type="character" w:customStyle="1" w:styleId="CommentaireCar">
    <w:name w:val="Commentaire Car"/>
    <w:basedOn w:val="Policepardfaut"/>
    <w:link w:val="Commentaire"/>
    <w:uiPriority w:val="99"/>
    <w:semiHidden/>
    <w:rsid w:val="00091ACB"/>
    <w:rPr>
      <w:sz w:val="20"/>
      <w:szCs w:val="20"/>
    </w:rPr>
  </w:style>
  <w:style w:type="paragraph" w:styleId="Objetducommentaire">
    <w:name w:val="annotation subject"/>
    <w:basedOn w:val="Commentaire"/>
    <w:next w:val="Commentaire"/>
    <w:link w:val="ObjetducommentaireCar"/>
    <w:uiPriority w:val="99"/>
    <w:semiHidden/>
    <w:unhideWhenUsed/>
    <w:rsid w:val="00091ACB"/>
    <w:rPr>
      <w:b/>
      <w:bCs/>
    </w:rPr>
  </w:style>
  <w:style w:type="character" w:customStyle="1" w:styleId="ObjetducommentaireCar">
    <w:name w:val="Objet du commentaire Car"/>
    <w:basedOn w:val="CommentaireCar"/>
    <w:link w:val="Objetducommentaire"/>
    <w:uiPriority w:val="99"/>
    <w:semiHidden/>
    <w:rsid w:val="00091A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94259">
      <w:bodyDiv w:val="1"/>
      <w:marLeft w:val="0"/>
      <w:marRight w:val="0"/>
      <w:marTop w:val="0"/>
      <w:marBottom w:val="0"/>
      <w:divBdr>
        <w:top w:val="none" w:sz="0" w:space="0" w:color="auto"/>
        <w:left w:val="none" w:sz="0" w:space="0" w:color="auto"/>
        <w:bottom w:val="none" w:sz="0" w:space="0" w:color="auto"/>
        <w:right w:val="none" w:sz="0" w:space="0" w:color="auto"/>
      </w:divBdr>
    </w:div>
    <w:div w:id="1448769590">
      <w:bodyDiv w:val="1"/>
      <w:marLeft w:val="0"/>
      <w:marRight w:val="0"/>
      <w:marTop w:val="0"/>
      <w:marBottom w:val="0"/>
      <w:divBdr>
        <w:top w:val="none" w:sz="0" w:space="0" w:color="auto"/>
        <w:left w:val="none" w:sz="0" w:space="0" w:color="auto"/>
        <w:bottom w:val="none" w:sz="0" w:space="0" w:color="auto"/>
        <w:right w:val="none" w:sz="0" w:space="0" w:color="auto"/>
      </w:divBdr>
    </w:div>
    <w:div w:id="1695185127">
      <w:bodyDiv w:val="1"/>
      <w:marLeft w:val="0"/>
      <w:marRight w:val="0"/>
      <w:marTop w:val="0"/>
      <w:marBottom w:val="0"/>
      <w:divBdr>
        <w:top w:val="none" w:sz="0" w:space="0" w:color="auto"/>
        <w:left w:val="none" w:sz="0" w:space="0" w:color="auto"/>
        <w:bottom w:val="none" w:sz="0" w:space="0" w:color="auto"/>
        <w:right w:val="none" w:sz="0" w:space="0" w:color="auto"/>
      </w:divBdr>
    </w:div>
    <w:div w:id="19234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347D-F8EB-4472-8F3D-EFB6E729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1074</Words>
  <Characters>5908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NACHIN</dc:creator>
  <cp:keywords/>
  <dc:description/>
  <cp:lastModifiedBy>Céline CASTELLI</cp:lastModifiedBy>
  <cp:revision>10</cp:revision>
  <cp:lastPrinted>2014-10-08T06:08:00Z</cp:lastPrinted>
  <dcterms:created xsi:type="dcterms:W3CDTF">2017-06-01T06:10:00Z</dcterms:created>
  <dcterms:modified xsi:type="dcterms:W3CDTF">2023-08-31T23:29:00Z</dcterms:modified>
</cp:coreProperties>
</file>