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26BFE4F7" w14:textId="3B52DEA7" w:rsidR="00217FD8" w:rsidRPr="00EB3F04" w:rsidRDefault="00217FD8" w:rsidP="00217FD8">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themeColor="accent1"/>
          <w:sz w:val="44"/>
          <w:szCs w:val="44"/>
          <w:lang w:eastAsia="fr-FR"/>
        </w:rPr>
      </w:pPr>
      <w:bookmarkStart w:id="0" w:name="_Hlk193965435"/>
      <w:r w:rsidRPr="00EB3F04">
        <w:rPr>
          <w:rFonts w:ascii="Calibri" w:eastAsia="Times New Roman" w:hAnsi="Calibri" w:cs="Calibri"/>
          <w:b/>
          <w:color w:val="5B9BD5" w:themeColor="accent1"/>
          <w:sz w:val="44"/>
          <w:szCs w:val="44"/>
          <w:lang w:eastAsia="fr-FR"/>
        </w:rPr>
        <w:t>Réfection en site occupé des bacs à douche d</w:t>
      </w:r>
      <w:r>
        <w:rPr>
          <w:rFonts w:ascii="Calibri" w:eastAsia="Times New Roman" w:hAnsi="Calibri" w:cs="Calibri"/>
          <w:b/>
          <w:color w:val="5B9BD5" w:themeColor="accent1"/>
          <w:sz w:val="44"/>
          <w:szCs w:val="44"/>
          <w:lang w:eastAsia="fr-FR"/>
        </w:rPr>
        <w:t xml:space="preserve">es </w:t>
      </w:r>
      <w:r w:rsidRPr="00EB3F04">
        <w:rPr>
          <w:rFonts w:ascii="Calibri" w:eastAsia="Times New Roman" w:hAnsi="Calibri" w:cs="Calibri"/>
          <w:b/>
          <w:color w:val="5B9BD5" w:themeColor="accent1"/>
          <w:sz w:val="44"/>
          <w:szCs w:val="44"/>
          <w:lang w:eastAsia="fr-FR"/>
        </w:rPr>
        <w:t xml:space="preserve">résidences </w:t>
      </w:r>
      <w:r>
        <w:rPr>
          <w:rFonts w:ascii="Calibri" w:eastAsia="Times New Roman" w:hAnsi="Calibri" w:cs="Calibri"/>
          <w:b/>
          <w:color w:val="5B9BD5" w:themeColor="accent1"/>
          <w:sz w:val="44"/>
          <w:szCs w:val="44"/>
          <w:lang w:eastAsia="fr-FR"/>
        </w:rPr>
        <w:t xml:space="preserve">LES PALMIERS et CALEDONIA EST </w:t>
      </w:r>
      <w:r w:rsidRPr="00EB3F04">
        <w:rPr>
          <w:rFonts w:ascii="Calibri" w:eastAsia="Times New Roman" w:hAnsi="Calibri" w:cs="Calibri"/>
          <w:b/>
          <w:color w:val="5B9BD5" w:themeColor="accent1"/>
          <w:sz w:val="44"/>
          <w:szCs w:val="44"/>
          <w:lang w:eastAsia="fr-FR"/>
        </w:rPr>
        <w:t>du parc</w:t>
      </w:r>
      <w:r>
        <w:rPr>
          <w:rFonts w:ascii="Calibri" w:eastAsia="Times New Roman" w:hAnsi="Calibri" w:cs="Calibri"/>
          <w:b/>
          <w:color w:val="5B9BD5" w:themeColor="accent1"/>
          <w:sz w:val="44"/>
          <w:szCs w:val="44"/>
          <w:lang w:eastAsia="fr-FR"/>
        </w:rPr>
        <w:t xml:space="preserve"> </w:t>
      </w:r>
      <w:r w:rsidRPr="00EB3F04">
        <w:rPr>
          <w:rFonts w:ascii="Calibri" w:eastAsia="Times New Roman" w:hAnsi="Calibri" w:cs="Calibri"/>
          <w:b/>
          <w:color w:val="5B9BD5" w:themeColor="accent1"/>
          <w:sz w:val="44"/>
          <w:szCs w:val="44"/>
          <w:lang w:eastAsia="fr-FR"/>
        </w:rPr>
        <w:t>du Fonds Calédonien de l’Habitat</w:t>
      </w:r>
      <w:r>
        <w:rPr>
          <w:rFonts w:ascii="Calibri" w:eastAsia="Times New Roman" w:hAnsi="Calibri" w:cs="Calibri"/>
          <w:b/>
          <w:color w:val="5B9BD5" w:themeColor="accent1"/>
          <w:sz w:val="44"/>
          <w:szCs w:val="44"/>
          <w:lang w:eastAsia="fr-FR"/>
        </w:rPr>
        <w:t xml:space="preserve"> - </w:t>
      </w:r>
      <w:r w:rsidRPr="004D27E1">
        <w:rPr>
          <w:rFonts w:ascii="Calibri" w:eastAsia="Times New Roman" w:hAnsi="Calibri" w:cs="Calibri"/>
          <w:b/>
          <w:color w:val="5B9BD5" w:themeColor="accent1"/>
          <w:sz w:val="44"/>
          <w:szCs w:val="44"/>
          <w:lang w:eastAsia="fr-FR"/>
        </w:rPr>
        <w:t>Commune</w:t>
      </w:r>
      <w:r>
        <w:rPr>
          <w:rFonts w:ascii="Calibri" w:eastAsia="Times New Roman" w:hAnsi="Calibri" w:cs="Calibri"/>
          <w:b/>
          <w:color w:val="5B9BD5" w:themeColor="accent1"/>
          <w:sz w:val="44"/>
          <w:szCs w:val="44"/>
          <w:lang w:eastAsia="fr-FR"/>
        </w:rPr>
        <w:t>s</w:t>
      </w:r>
      <w:r w:rsidRPr="004D27E1">
        <w:rPr>
          <w:rFonts w:ascii="Calibri" w:eastAsia="Times New Roman" w:hAnsi="Calibri" w:cs="Calibri"/>
          <w:b/>
          <w:color w:val="5B9BD5" w:themeColor="accent1"/>
          <w:sz w:val="44"/>
          <w:szCs w:val="44"/>
          <w:lang w:eastAsia="fr-FR"/>
        </w:rPr>
        <w:t xml:space="preserve"> de Dumbéa</w:t>
      </w:r>
      <w:r>
        <w:rPr>
          <w:rFonts w:ascii="Calibri" w:eastAsia="Times New Roman" w:hAnsi="Calibri" w:cs="Calibri"/>
          <w:b/>
          <w:color w:val="5B9BD5" w:themeColor="accent1"/>
          <w:sz w:val="44"/>
          <w:szCs w:val="44"/>
          <w:lang w:eastAsia="fr-FR"/>
        </w:rPr>
        <w:t xml:space="preserve"> et Nouméa</w:t>
      </w:r>
    </w:p>
    <w:bookmarkEnd w:id="0"/>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74258041"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1" w:name="_Toc208037233"/>
      <w:bookmarkStart w:id="2" w:name="_Toc210187550"/>
      <w:bookmarkStart w:id="3" w:name="_Toc384890407"/>
      <w:r w:rsidRPr="009247B4">
        <w:rPr>
          <w:rFonts w:eastAsia="Times New Roman" w:cstheme="minorHAnsi"/>
          <w:b/>
          <w:i/>
          <w:color w:val="C45911" w:themeColor="accent2" w:themeShade="BF"/>
          <w:sz w:val="32"/>
          <w:szCs w:val="32"/>
          <w:lang w:eastAsia="fr-FR"/>
        </w:rPr>
        <w:t xml:space="preserve">Pièce n° 1 – </w:t>
      </w:r>
      <w:bookmarkEnd w:id="1"/>
      <w:bookmarkEnd w:id="2"/>
      <w:bookmarkEnd w:id="3"/>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790CA4">
        <w:rPr>
          <w:rFonts w:eastAsia="Times New Roman" w:cstheme="minorHAnsi"/>
          <w:b/>
          <w:i/>
          <w:color w:val="5B9BD5" w:themeColor="accent1"/>
          <w:sz w:val="32"/>
          <w:szCs w:val="32"/>
          <w:lang w:eastAsia="fr-FR"/>
        </w:rPr>
        <w:t>19</w:t>
      </w:r>
      <w:r w:rsidR="004946E4" w:rsidRPr="004946E4">
        <w:rPr>
          <w:rFonts w:eastAsia="Times New Roman" w:cstheme="minorHAnsi"/>
          <w:b/>
          <w:i/>
          <w:color w:val="5B9BD5" w:themeColor="accent1"/>
          <w:sz w:val="32"/>
          <w:szCs w:val="32"/>
          <w:lang w:eastAsia="fr-FR"/>
        </w:rPr>
        <w:t xml:space="preserve"> </w:t>
      </w:r>
      <w:r w:rsidR="00790CA4">
        <w:rPr>
          <w:rFonts w:eastAsia="Times New Roman" w:cstheme="minorHAnsi"/>
          <w:b/>
          <w:i/>
          <w:color w:val="5B9BD5" w:themeColor="accent1"/>
          <w:sz w:val="32"/>
          <w:szCs w:val="32"/>
          <w:lang w:eastAsia="fr-FR"/>
        </w:rPr>
        <w:t>–</w:t>
      </w:r>
      <w:r w:rsidR="004946E4" w:rsidRPr="004946E4">
        <w:rPr>
          <w:rFonts w:eastAsia="Times New Roman" w:cstheme="minorHAnsi"/>
          <w:b/>
          <w:i/>
          <w:color w:val="5B9BD5" w:themeColor="accent1"/>
          <w:sz w:val="32"/>
          <w:szCs w:val="32"/>
          <w:lang w:eastAsia="fr-FR"/>
        </w:rPr>
        <w:t xml:space="preserve"> </w:t>
      </w:r>
      <w:r w:rsidR="00790CA4">
        <w:rPr>
          <w:rFonts w:eastAsia="Times New Roman" w:cstheme="minorHAnsi"/>
          <w:b/>
          <w:i/>
          <w:color w:val="5B9BD5" w:themeColor="accent1"/>
          <w:sz w:val="32"/>
          <w:szCs w:val="32"/>
          <w:lang w:eastAsia="fr-FR"/>
        </w:rPr>
        <w:t>Revêtement Sols et Murs</w:t>
      </w:r>
    </w:p>
    <w:p w14:paraId="050F6A59" w14:textId="7D55C683"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bookmarkStart w:id="4" w:name="_Hlk196727140"/>
      <w:r w:rsidR="000C6AA3">
        <w:rPr>
          <w:rFonts w:eastAsia="Times New Roman" w:cstheme="minorHAnsi"/>
          <w:b/>
          <w:color w:val="5B9BD5" w:themeColor="accent1"/>
          <w:sz w:val="32"/>
          <w:szCs w:val="32"/>
          <w:lang w:eastAsia="fr-FR"/>
        </w:rPr>
        <w:t>2</w:t>
      </w:r>
      <w:r w:rsidR="0036591A">
        <w:rPr>
          <w:rFonts w:eastAsia="Times New Roman" w:cstheme="minorHAnsi"/>
          <w:b/>
          <w:color w:val="5B9BD5" w:themeColor="accent1"/>
          <w:sz w:val="32"/>
          <w:szCs w:val="32"/>
          <w:lang w:eastAsia="fr-FR"/>
        </w:rPr>
        <w:t>0682</w:t>
      </w:r>
      <w:r w:rsidR="000C6AA3">
        <w:rPr>
          <w:rFonts w:eastAsia="Times New Roman" w:cstheme="minorHAnsi"/>
          <w:b/>
          <w:color w:val="5B9BD5" w:themeColor="accent1"/>
          <w:sz w:val="32"/>
          <w:szCs w:val="32"/>
          <w:lang w:eastAsia="fr-FR"/>
        </w:rPr>
        <w:t>/202</w:t>
      </w:r>
      <w:r w:rsidR="0036591A">
        <w:rPr>
          <w:rFonts w:eastAsia="Times New Roman" w:cstheme="minorHAnsi"/>
          <w:b/>
          <w:color w:val="5B9BD5" w:themeColor="accent1"/>
          <w:sz w:val="32"/>
          <w:szCs w:val="32"/>
          <w:lang w:eastAsia="fr-FR"/>
        </w:rPr>
        <w:t>5</w:t>
      </w:r>
      <w:r w:rsidR="000C6AA3">
        <w:rPr>
          <w:rFonts w:eastAsia="Times New Roman" w:cstheme="minorHAnsi"/>
          <w:b/>
          <w:color w:val="5B9BD5" w:themeColor="accent1"/>
          <w:sz w:val="32"/>
          <w:szCs w:val="32"/>
          <w:lang w:eastAsia="fr-FR"/>
        </w:rPr>
        <w:t>/</w:t>
      </w:r>
      <w:r w:rsidR="0036591A">
        <w:rPr>
          <w:rFonts w:eastAsia="Times New Roman" w:cstheme="minorHAnsi"/>
          <w:b/>
          <w:color w:val="5B9BD5" w:themeColor="accent1"/>
          <w:sz w:val="32"/>
          <w:szCs w:val="32"/>
          <w:lang w:eastAsia="fr-FR"/>
        </w:rPr>
        <w:t>4-5</w:t>
      </w:r>
      <w:r w:rsidR="000C6AA3">
        <w:rPr>
          <w:rFonts w:eastAsia="Times New Roman" w:cstheme="minorHAnsi"/>
          <w:b/>
          <w:color w:val="5B9BD5" w:themeColor="accent1"/>
          <w:sz w:val="32"/>
          <w:szCs w:val="32"/>
          <w:lang w:eastAsia="fr-FR"/>
        </w:rPr>
        <w:t>/</w:t>
      </w:r>
      <w:r w:rsidR="0036591A">
        <w:rPr>
          <w:rFonts w:eastAsia="Times New Roman" w:cstheme="minorHAnsi"/>
          <w:b/>
          <w:color w:val="5B9BD5" w:themeColor="accent1"/>
          <w:sz w:val="32"/>
          <w:szCs w:val="32"/>
          <w:lang w:eastAsia="fr-FR"/>
        </w:rPr>
        <w:t>376-01</w:t>
      </w:r>
    </w:p>
    <w:bookmarkEnd w:id="4"/>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11347F13"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5FBA5A4" w14:textId="1A409680"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23FC0E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54674ED" w14:textId="02AAFD81"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4CBE2F3" w14:textId="569EA98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5233D14D"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2F2125C4"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r w:rsidRPr="009247B4">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595D5293" w14:textId="19D77ACE" w:rsidR="007116B7" w:rsidRPr="000C6AA3" w:rsidRDefault="007116B7" w:rsidP="007116B7">
      <w:pPr>
        <w:spacing w:after="0" w:line="240" w:lineRule="auto"/>
        <w:rPr>
          <w:rFonts w:eastAsia="Times New Roman" w:cstheme="minorHAnsi"/>
          <w:color w:val="5B9BD5" w:themeColor="accent1"/>
          <w:sz w:val="20"/>
          <w:szCs w:val="24"/>
          <w:lang w:eastAsia="fr-FR"/>
        </w:rPr>
      </w:pPr>
      <w:r>
        <w:rPr>
          <w:rFonts w:eastAsia="Times New Roman" w:cstheme="minorHAnsi"/>
          <w:sz w:val="20"/>
          <w:szCs w:val="24"/>
          <w:lang w:eastAsia="fr-FR"/>
        </w:rPr>
        <w:t xml:space="preserve">La maîtrise d’œuvre est assurée par </w:t>
      </w:r>
      <w:r>
        <w:rPr>
          <w:rFonts w:eastAsia="Times New Roman" w:cstheme="minorHAnsi"/>
          <w:color w:val="5B9BD5" w:themeColor="accent1"/>
          <w:sz w:val="20"/>
          <w:szCs w:val="24"/>
          <w:lang w:eastAsia="fr-FR"/>
        </w:rPr>
        <w:t>CPE SARL</w:t>
      </w:r>
      <w:r>
        <w:rPr>
          <w:rFonts w:eastAsia="Times New Roman" w:cstheme="minorHAnsi"/>
          <w:sz w:val="20"/>
          <w:szCs w:val="24"/>
          <w:lang w:eastAsia="fr-FR"/>
        </w:rPr>
        <w:t xml:space="preserve">, représentée par </w:t>
      </w:r>
      <w:r w:rsidRPr="00287E07">
        <w:rPr>
          <w:rFonts w:eastAsia="Times New Roman" w:cstheme="minorHAnsi"/>
          <w:color w:val="548DD4"/>
          <w:sz w:val="20"/>
          <w:szCs w:val="20"/>
          <w:lang w:eastAsia="fr-FR"/>
        </w:rPr>
        <w:t xml:space="preserve">Monsieur </w:t>
      </w:r>
      <w:r w:rsidRPr="00287E07">
        <w:rPr>
          <w:rFonts w:eastAsia="Times New Roman" w:cstheme="minorHAnsi"/>
          <w:color w:val="5B9BD5" w:themeColor="accent1"/>
          <w:sz w:val="20"/>
          <w:szCs w:val="20"/>
          <w:lang w:eastAsia="fr-FR"/>
        </w:rPr>
        <w:t>Patrick LEROC</w:t>
      </w:r>
      <w:r>
        <w:rPr>
          <w:rFonts w:eastAsia="Times New Roman" w:cstheme="minorHAnsi"/>
          <w:sz w:val="20"/>
          <w:szCs w:val="24"/>
          <w:lang w:eastAsia="fr-FR"/>
        </w:rPr>
        <w:t xml:space="preserve">, domicilié </w:t>
      </w:r>
      <w:r>
        <w:rPr>
          <w:rFonts w:eastAsia="Times New Roman" w:cstheme="minorHAnsi"/>
          <w:color w:val="5B9BD5" w:themeColor="accent1"/>
          <w:sz w:val="20"/>
          <w:szCs w:val="24"/>
          <w:lang w:eastAsia="fr-FR"/>
        </w:rPr>
        <w:t xml:space="preserve">au lot 127 Port </w:t>
      </w:r>
      <w:proofErr w:type="spellStart"/>
      <w:r>
        <w:rPr>
          <w:rFonts w:eastAsia="Times New Roman" w:cstheme="minorHAnsi"/>
          <w:color w:val="5B9BD5" w:themeColor="accent1"/>
          <w:sz w:val="20"/>
          <w:szCs w:val="24"/>
          <w:lang w:eastAsia="fr-FR"/>
        </w:rPr>
        <w:t>Ouenghi</w:t>
      </w:r>
      <w:proofErr w:type="spellEnd"/>
      <w:r>
        <w:rPr>
          <w:rFonts w:eastAsia="Times New Roman" w:cstheme="minorHAnsi"/>
          <w:color w:val="5B9BD5" w:themeColor="accent1"/>
          <w:sz w:val="20"/>
          <w:szCs w:val="24"/>
          <w:lang w:eastAsia="fr-FR"/>
        </w:rPr>
        <w:t xml:space="preserve"> plage, tél : 78 14 71 - mail : cpe@lagoon.nc</w:t>
      </w:r>
    </w:p>
    <w:p w14:paraId="35869F4D" w14:textId="77777777" w:rsidR="004F5A3C" w:rsidRPr="009247B4" w:rsidRDefault="004F5A3C" w:rsidP="00FE0245">
      <w:pPr>
        <w:spacing w:after="0" w:line="240" w:lineRule="auto"/>
        <w:rPr>
          <w:rFonts w:eastAsia="Times New Roman" w:cstheme="minorHAnsi"/>
          <w:b/>
          <w:sz w:val="20"/>
          <w:szCs w:val="24"/>
          <w:lang w:eastAsia="fr-FR"/>
        </w:rPr>
      </w:pP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RIDET</w:t>
            </w:r>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Registre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5B498693"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7A8EF29F"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lastRenderedPageBreak/>
        <w:t xml:space="preserve">La société FCH agissant en sa qualité de Maître de l’Ouvrage Délégué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013E87AB" w14:textId="0313FD0E" w:rsidR="007116B7" w:rsidRPr="007116B7" w:rsidRDefault="00513C41" w:rsidP="007116B7">
      <w:pPr>
        <w:spacing w:after="0" w:line="240" w:lineRule="auto"/>
        <w:jc w:val="both"/>
        <w:rPr>
          <w:rFonts w:ascii="Calibri" w:eastAsia="Times New Roman" w:hAnsi="Calibri" w:cs="Calibri"/>
          <w:b/>
          <w:iCs/>
          <w:color w:val="5B9BD5" w:themeColor="accent1"/>
          <w:sz w:val="20"/>
          <w:szCs w:val="20"/>
          <w:lang w:eastAsia="fr-FR"/>
        </w:rPr>
      </w:pPr>
      <w:r w:rsidRPr="00513C41">
        <w:rPr>
          <w:rFonts w:ascii="Calibri" w:eastAsia="Times New Roman" w:hAnsi="Calibri" w:cs="Calibri"/>
          <w:sz w:val="20"/>
          <w:szCs w:val="24"/>
          <w:lang w:eastAsia="fr-FR"/>
        </w:rPr>
        <w:t xml:space="preserve">Les travaux, objets du marché, consistent </w:t>
      </w:r>
      <w:r w:rsidRPr="00513C41">
        <w:rPr>
          <w:rFonts w:ascii="Calibri" w:eastAsia="Times New Roman" w:hAnsi="Calibri" w:cs="Calibri"/>
          <w:iCs/>
          <w:sz w:val="20"/>
          <w:szCs w:val="20"/>
          <w:lang w:eastAsia="fr-FR"/>
        </w:rPr>
        <w:t xml:space="preserve">en </w:t>
      </w:r>
      <w:r w:rsidR="007116B7" w:rsidRPr="007116B7">
        <w:rPr>
          <w:rFonts w:ascii="Calibri" w:eastAsia="Times New Roman" w:hAnsi="Calibri" w:cs="Calibri"/>
          <w:b/>
          <w:iCs/>
          <w:color w:val="5B9BD5" w:themeColor="accent1"/>
          <w:sz w:val="20"/>
          <w:szCs w:val="20"/>
          <w:lang w:eastAsia="fr-FR"/>
        </w:rPr>
        <w:t>Réfection en site occupé des bacs à douche des résidences LES PALMIERS et CALEDONIA EST du parc du Fonds Calédonien de l’Habitat - Communes de Dumbéa et Nouméa</w:t>
      </w:r>
      <w:r w:rsidR="007116B7">
        <w:rPr>
          <w:rFonts w:ascii="Calibri" w:eastAsia="Times New Roman" w:hAnsi="Calibri" w:cs="Calibri"/>
          <w:b/>
          <w:iCs/>
          <w:color w:val="5B9BD5" w:themeColor="accent1"/>
          <w:sz w:val="20"/>
          <w:szCs w:val="20"/>
          <w:lang w:eastAsia="fr-FR"/>
        </w:rPr>
        <w:t>.</w:t>
      </w:r>
    </w:p>
    <w:p w14:paraId="7A104575" w14:textId="6F99FAFC" w:rsidR="00B048BB" w:rsidRDefault="00B048BB" w:rsidP="00513C41">
      <w:pPr>
        <w:spacing w:after="0" w:line="240" w:lineRule="auto"/>
        <w:jc w:val="both"/>
        <w:rPr>
          <w:rFonts w:ascii="Calibri" w:eastAsia="Times New Roman" w:hAnsi="Calibri" w:cs="Calibri"/>
          <w:iCs/>
          <w:sz w:val="20"/>
          <w:szCs w:val="20"/>
          <w:lang w:eastAsia="fr-FR"/>
        </w:rPr>
      </w:pPr>
    </w:p>
    <w:p w14:paraId="7A9AFB7E" w14:textId="64AD74B3" w:rsidR="007116B7" w:rsidRPr="007116B7" w:rsidRDefault="00B048BB" w:rsidP="007116B7">
      <w:pPr>
        <w:spacing w:after="0" w:line="240" w:lineRule="auto"/>
        <w:jc w:val="both"/>
        <w:rPr>
          <w:rFonts w:ascii="Calibri" w:eastAsia="Times New Roman" w:hAnsi="Calibri" w:cs="Calibri"/>
          <w:b/>
          <w:iCs/>
          <w:color w:val="5B9BD5" w:themeColor="accent1"/>
          <w:sz w:val="20"/>
          <w:szCs w:val="20"/>
          <w:lang w:eastAsia="fr-FR"/>
        </w:rPr>
      </w:pPr>
      <w:r w:rsidRPr="00B048BB">
        <w:rPr>
          <w:rFonts w:ascii="Calibri" w:eastAsia="Times New Roman" w:hAnsi="Calibri" w:cs="Calibri"/>
          <w:iCs/>
          <w:sz w:val="20"/>
          <w:szCs w:val="20"/>
          <w:lang w:eastAsia="fr-FR"/>
        </w:rPr>
        <w:t>L’</w:t>
      </w:r>
      <w:r w:rsidR="00513C41" w:rsidRPr="00513C41">
        <w:rPr>
          <w:rFonts w:ascii="Calibri" w:eastAsia="Times New Roman" w:hAnsi="Calibri" w:cs="Calibri"/>
          <w:iCs/>
          <w:sz w:val="20"/>
          <w:szCs w:val="20"/>
          <w:lang w:eastAsia="fr-FR"/>
        </w:rPr>
        <w:t xml:space="preserve">opération </w:t>
      </w:r>
      <w:r w:rsidRPr="00B048BB">
        <w:rPr>
          <w:rFonts w:ascii="Calibri" w:eastAsia="Times New Roman" w:hAnsi="Calibri" w:cs="Calibri"/>
          <w:iCs/>
          <w:sz w:val="20"/>
          <w:szCs w:val="20"/>
          <w:lang w:eastAsia="fr-FR"/>
        </w:rPr>
        <w:t>est dénommée</w:t>
      </w:r>
      <w:r w:rsidRPr="00B048BB">
        <w:rPr>
          <w:rFonts w:ascii="Calibri" w:eastAsia="Times New Roman" w:hAnsi="Calibri" w:cs="Calibri"/>
          <w:b/>
          <w:iCs/>
          <w:sz w:val="20"/>
          <w:szCs w:val="20"/>
          <w:lang w:eastAsia="fr-FR"/>
        </w:rPr>
        <w:t xml:space="preserve"> </w:t>
      </w:r>
      <w:r w:rsidR="007116B7" w:rsidRPr="007116B7">
        <w:rPr>
          <w:rFonts w:ascii="Calibri" w:eastAsia="Times New Roman" w:hAnsi="Calibri" w:cs="Calibri"/>
          <w:b/>
          <w:iCs/>
          <w:color w:val="5B9BD5" w:themeColor="accent1"/>
          <w:sz w:val="20"/>
          <w:szCs w:val="20"/>
          <w:lang w:eastAsia="fr-FR"/>
        </w:rPr>
        <w:t>Réfection en site occupé des bacs à douche des résidences LES PALMIERS et CALEDONIA EST du parc du Fonds Calédonien de l’Habitat</w:t>
      </w:r>
      <w:r w:rsidR="007116B7">
        <w:rPr>
          <w:rFonts w:ascii="Calibri" w:eastAsia="Times New Roman" w:hAnsi="Calibri" w:cs="Calibri"/>
          <w:b/>
          <w:iCs/>
          <w:color w:val="5B9BD5" w:themeColor="accent1"/>
          <w:sz w:val="20"/>
          <w:szCs w:val="20"/>
          <w:lang w:eastAsia="fr-FR"/>
        </w:rPr>
        <w:t> </w:t>
      </w:r>
      <w:r w:rsidR="00214D8B">
        <w:rPr>
          <w:rFonts w:ascii="Calibri" w:eastAsia="Times New Roman" w:hAnsi="Calibri" w:cs="Calibri"/>
          <w:b/>
          <w:iCs/>
          <w:color w:val="5B9BD5" w:themeColor="accent1"/>
          <w:sz w:val="20"/>
          <w:szCs w:val="20"/>
          <w:lang w:eastAsia="fr-FR"/>
        </w:rPr>
        <w:t>– REVETEMENT DE SOLS ET MURS – LOT N°19</w:t>
      </w:r>
      <w:r w:rsidR="00C36AD6">
        <w:rPr>
          <w:rFonts w:ascii="Calibri" w:eastAsia="Times New Roman" w:hAnsi="Calibri" w:cs="Calibri"/>
          <w:b/>
          <w:iCs/>
          <w:color w:val="5B9BD5" w:themeColor="accent1"/>
          <w:sz w:val="20"/>
          <w:szCs w:val="20"/>
          <w:lang w:eastAsia="fr-FR"/>
        </w:rPr>
        <w:t xml:space="preserve"> </w:t>
      </w:r>
      <w:r w:rsidR="007116B7">
        <w:rPr>
          <w:rFonts w:ascii="Calibri" w:eastAsia="Times New Roman" w:hAnsi="Calibri" w:cs="Calibri"/>
          <w:b/>
          <w:iCs/>
          <w:color w:val="5B9BD5" w:themeColor="accent1"/>
          <w:sz w:val="20"/>
          <w:szCs w:val="20"/>
          <w:lang w:eastAsia="fr-FR"/>
        </w:rPr>
        <w:t>;</w:t>
      </w:r>
    </w:p>
    <w:p w14:paraId="68FE2BB7" w14:textId="76D496A0" w:rsidR="00513C41" w:rsidRDefault="00B048BB" w:rsidP="00513C41">
      <w:pPr>
        <w:spacing w:after="0" w:line="240" w:lineRule="auto"/>
        <w:jc w:val="both"/>
        <w:rPr>
          <w:rFonts w:ascii="Calibri" w:eastAsia="Times New Roman" w:hAnsi="Calibri" w:cs="Calibri"/>
          <w:iCs/>
          <w:sz w:val="20"/>
          <w:szCs w:val="20"/>
          <w:lang w:eastAsia="fr-FR"/>
        </w:rPr>
      </w:pPr>
      <w:r>
        <w:rPr>
          <w:rFonts w:ascii="Calibri" w:eastAsia="Times New Roman" w:hAnsi="Calibri" w:cs="Calibri"/>
          <w:b/>
          <w:iCs/>
          <w:color w:val="5B9BD5" w:themeColor="accent1"/>
          <w:sz w:val="20"/>
          <w:szCs w:val="20"/>
          <w:lang w:eastAsia="fr-FR"/>
        </w:rPr>
        <w:t> </w:t>
      </w:r>
      <w:r w:rsidRPr="00B048BB">
        <w:rPr>
          <w:rFonts w:ascii="Calibri" w:eastAsia="Times New Roman" w:hAnsi="Calibri" w:cs="Calibri"/>
          <w:iCs/>
          <w:sz w:val="20"/>
          <w:szCs w:val="20"/>
          <w:lang w:eastAsia="fr-FR"/>
        </w:rPr>
        <w:t xml:space="preserve">; elle </w:t>
      </w:r>
      <w:r w:rsidR="00214D8B">
        <w:rPr>
          <w:rFonts w:ascii="Calibri" w:eastAsia="Times New Roman" w:hAnsi="Calibri" w:cs="Calibri"/>
          <w:iCs/>
          <w:sz w:val="20"/>
          <w:szCs w:val="20"/>
          <w:lang w:eastAsia="fr-FR"/>
        </w:rPr>
        <w:t>sont situées à :</w:t>
      </w:r>
    </w:p>
    <w:tbl>
      <w:tblPr>
        <w:tblW w:w="3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2551"/>
        <w:gridCol w:w="1388"/>
        <w:gridCol w:w="1388"/>
      </w:tblGrid>
      <w:tr w:rsidR="00214D8B" w:rsidRPr="00E00F1F" w14:paraId="69D587B2" w14:textId="77777777" w:rsidTr="00214D8B">
        <w:trPr>
          <w:trHeight w:val="515"/>
          <w:jc w:val="center"/>
        </w:trPr>
        <w:tc>
          <w:tcPr>
            <w:tcW w:w="1504" w:type="pct"/>
            <w:hideMark/>
          </w:tcPr>
          <w:p w14:paraId="7653BAAB" w14:textId="77777777" w:rsidR="00214D8B" w:rsidRPr="00E00F1F" w:rsidRDefault="00214D8B" w:rsidP="005B027B">
            <w:pPr>
              <w:jc w:val="center"/>
              <w:rPr>
                <w:rFonts w:eastAsia="Times New Roman"/>
                <w:b/>
                <w:iCs/>
                <w:color w:val="E36C0A"/>
                <w:sz w:val="20"/>
                <w:szCs w:val="20"/>
                <w:lang w:eastAsia="fr-FR"/>
              </w:rPr>
            </w:pPr>
            <w:r>
              <w:rPr>
                <w:rFonts w:eastAsia="Times New Roman"/>
                <w:b/>
                <w:iCs/>
                <w:color w:val="E36C0A"/>
                <w:sz w:val="20"/>
                <w:szCs w:val="20"/>
                <w:lang w:eastAsia="fr-FR"/>
              </w:rPr>
              <w:t>Résidences</w:t>
            </w:r>
          </w:p>
        </w:tc>
        <w:tc>
          <w:tcPr>
            <w:tcW w:w="1674" w:type="pct"/>
          </w:tcPr>
          <w:p w14:paraId="052D255D" w14:textId="77777777" w:rsidR="00214D8B" w:rsidRPr="00E00F1F" w:rsidRDefault="00214D8B" w:rsidP="005B027B">
            <w:pPr>
              <w:jc w:val="center"/>
              <w:rPr>
                <w:rFonts w:eastAsia="Times New Roman"/>
                <w:b/>
                <w:iCs/>
                <w:color w:val="E36C0A"/>
                <w:sz w:val="20"/>
                <w:szCs w:val="20"/>
                <w:lang w:eastAsia="fr-FR"/>
              </w:rPr>
            </w:pPr>
            <w:r>
              <w:rPr>
                <w:rFonts w:eastAsia="Times New Roman"/>
                <w:b/>
                <w:iCs/>
                <w:color w:val="E36C0A"/>
                <w:sz w:val="20"/>
                <w:szCs w:val="20"/>
                <w:lang w:eastAsia="fr-FR"/>
              </w:rPr>
              <w:t>Adresse</w:t>
            </w:r>
          </w:p>
        </w:tc>
        <w:tc>
          <w:tcPr>
            <w:tcW w:w="911" w:type="pct"/>
          </w:tcPr>
          <w:p w14:paraId="6DC388B2" w14:textId="4D8A8F23" w:rsidR="00214D8B" w:rsidRDefault="00214D8B" w:rsidP="005B027B">
            <w:pPr>
              <w:jc w:val="center"/>
              <w:rPr>
                <w:rFonts w:eastAsia="Times New Roman"/>
                <w:b/>
                <w:iCs/>
                <w:color w:val="E36C0A"/>
                <w:sz w:val="20"/>
                <w:szCs w:val="20"/>
                <w:lang w:eastAsia="fr-FR"/>
              </w:rPr>
            </w:pPr>
            <w:r>
              <w:rPr>
                <w:rFonts w:eastAsia="Times New Roman"/>
                <w:b/>
                <w:iCs/>
                <w:color w:val="E36C0A"/>
                <w:sz w:val="20"/>
                <w:szCs w:val="20"/>
                <w:lang w:eastAsia="fr-FR"/>
              </w:rPr>
              <w:t>Ville</w:t>
            </w:r>
          </w:p>
        </w:tc>
        <w:tc>
          <w:tcPr>
            <w:tcW w:w="911" w:type="pct"/>
          </w:tcPr>
          <w:p w14:paraId="2FFF2259" w14:textId="40B152D5" w:rsidR="00214D8B" w:rsidRPr="00E00F1F" w:rsidRDefault="00214D8B" w:rsidP="005B027B">
            <w:pPr>
              <w:jc w:val="center"/>
              <w:rPr>
                <w:rFonts w:eastAsia="Times New Roman"/>
                <w:b/>
                <w:iCs/>
                <w:color w:val="E36C0A"/>
                <w:sz w:val="20"/>
                <w:szCs w:val="20"/>
                <w:lang w:eastAsia="fr-FR"/>
              </w:rPr>
            </w:pPr>
            <w:r>
              <w:rPr>
                <w:rFonts w:eastAsia="Times New Roman"/>
                <w:b/>
                <w:iCs/>
                <w:color w:val="E36C0A"/>
                <w:sz w:val="20"/>
                <w:szCs w:val="20"/>
                <w:lang w:eastAsia="fr-FR"/>
              </w:rPr>
              <w:t>Nombres logements</w:t>
            </w:r>
          </w:p>
        </w:tc>
      </w:tr>
      <w:tr w:rsidR="00214D8B" w:rsidRPr="00E00F1F" w14:paraId="13060D72" w14:textId="77777777" w:rsidTr="00214D8B">
        <w:trPr>
          <w:trHeight w:val="398"/>
          <w:jc w:val="center"/>
        </w:trPr>
        <w:tc>
          <w:tcPr>
            <w:tcW w:w="1504" w:type="pct"/>
            <w:shd w:val="clear" w:color="auto" w:fill="FFFFFF"/>
          </w:tcPr>
          <w:p w14:paraId="3FC3AFED" w14:textId="77777777" w:rsidR="00214D8B" w:rsidRPr="00955D78" w:rsidRDefault="00214D8B" w:rsidP="005B027B">
            <w:pPr>
              <w:jc w:val="center"/>
              <w:rPr>
                <w:rFonts w:eastAsia="Times New Roman"/>
                <w:iCs/>
                <w:sz w:val="16"/>
                <w:szCs w:val="16"/>
                <w:lang w:eastAsia="fr-FR"/>
              </w:rPr>
            </w:pPr>
            <w:r>
              <w:rPr>
                <w:rFonts w:eastAsia="Times New Roman"/>
                <w:iCs/>
                <w:sz w:val="16"/>
                <w:szCs w:val="16"/>
                <w:lang w:eastAsia="fr-FR"/>
              </w:rPr>
              <w:t xml:space="preserve">LES PALMIERS </w:t>
            </w:r>
          </w:p>
        </w:tc>
        <w:tc>
          <w:tcPr>
            <w:tcW w:w="1674" w:type="pct"/>
            <w:shd w:val="clear" w:color="auto" w:fill="FFFFFF"/>
          </w:tcPr>
          <w:p w14:paraId="5140DF07" w14:textId="77777777" w:rsidR="00214D8B" w:rsidRPr="00955D78" w:rsidRDefault="00214D8B" w:rsidP="005B027B">
            <w:pPr>
              <w:rPr>
                <w:rFonts w:eastAsia="Times New Roman"/>
                <w:iCs/>
                <w:sz w:val="16"/>
                <w:szCs w:val="16"/>
                <w:lang w:eastAsia="fr-FR"/>
              </w:rPr>
            </w:pPr>
            <w:r>
              <w:rPr>
                <w:rFonts w:eastAsia="Times New Roman"/>
                <w:iCs/>
                <w:sz w:val="16"/>
                <w:szCs w:val="16"/>
                <w:lang w:eastAsia="fr-FR"/>
              </w:rPr>
              <w:t>Rue GASTON CONSTANT / Rue Henri MARTINET /22 Rue ROBERT SURCOUF</w:t>
            </w:r>
          </w:p>
        </w:tc>
        <w:tc>
          <w:tcPr>
            <w:tcW w:w="911" w:type="pct"/>
            <w:shd w:val="clear" w:color="auto" w:fill="FFFFFF"/>
          </w:tcPr>
          <w:p w14:paraId="5DF65B6E" w14:textId="50295DBA" w:rsidR="00214D8B" w:rsidRDefault="00214D8B" w:rsidP="005B027B">
            <w:pPr>
              <w:jc w:val="center"/>
              <w:rPr>
                <w:rFonts w:eastAsia="Times New Roman"/>
                <w:iCs/>
                <w:sz w:val="16"/>
                <w:szCs w:val="16"/>
                <w:lang w:eastAsia="fr-FR"/>
              </w:rPr>
            </w:pPr>
            <w:r>
              <w:rPr>
                <w:rFonts w:eastAsia="Times New Roman"/>
                <w:iCs/>
                <w:sz w:val="16"/>
                <w:szCs w:val="16"/>
                <w:lang w:eastAsia="fr-FR"/>
              </w:rPr>
              <w:t>Dumbéa</w:t>
            </w:r>
          </w:p>
        </w:tc>
        <w:tc>
          <w:tcPr>
            <w:tcW w:w="911" w:type="pct"/>
            <w:shd w:val="clear" w:color="auto" w:fill="FFFFFF"/>
          </w:tcPr>
          <w:p w14:paraId="40B8F7C5" w14:textId="01601445" w:rsidR="00214D8B" w:rsidRPr="00955D78" w:rsidRDefault="00214D8B" w:rsidP="005B027B">
            <w:pPr>
              <w:jc w:val="center"/>
              <w:rPr>
                <w:rFonts w:eastAsia="Times New Roman"/>
                <w:iCs/>
                <w:sz w:val="16"/>
                <w:szCs w:val="16"/>
                <w:lang w:eastAsia="fr-FR"/>
              </w:rPr>
            </w:pPr>
            <w:r>
              <w:rPr>
                <w:rFonts w:eastAsia="Times New Roman"/>
                <w:iCs/>
                <w:sz w:val="16"/>
                <w:szCs w:val="16"/>
                <w:lang w:eastAsia="fr-FR"/>
              </w:rPr>
              <w:t>80</w:t>
            </w:r>
          </w:p>
        </w:tc>
      </w:tr>
      <w:tr w:rsidR="00214D8B" w:rsidRPr="00E00F1F" w14:paraId="714AE471" w14:textId="77777777" w:rsidTr="00214D8B">
        <w:trPr>
          <w:trHeight w:val="398"/>
          <w:jc w:val="center"/>
        </w:trPr>
        <w:tc>
          <w:tcPr>
            <w:tcW w:w="1504" w:type="pct"/>
            <w:shd w:val="clear" w:color="auto" w:fill="FFFFFF"/>
          </w:tcPr>
          <w:p w14:paraId="633E2AD7" w14:textId="23E3920E" w:rsidR="00214D8B" w:rsidRDefault="00214D8B" w:rsidP="005B027B">
            <w:pPr>
              <w:jc w:val="center"/>
              <w:rPr>
                <w:rFonts w:eastAsia="Times New Roman"/>
                <w:iCs/>
                <w:sz w:val="16"/>
                <w:szCs w:val="16"/>
                <w:lang w:eastAsia="fr-FR"/>
              </w:rPr>
            </w:pPr>
            <w:r>
              <w:rPr>
                <w:rFonts w:eastAsia="Times New Roman"/>
                <w:iCs/>
                <w:sz w:val="16"/>
                <w:szCs w:val="16"/>
                <w:lang w:eastAsia="fr-FR"/>
              </w:rPr>
              <w:t>CALEDONIA EST</w:t>
            </w:r>
          </w:p>
        </w:tc>
        <w:tc>
          <w:tcPr>
            <w:tcW w:w="1674" w:type="pct"/>
            <w:shd w:val="clear" w:color="auto" w:fill="FFFFFF"/>
          </w:tcPr>
          <w:p w14:paraId="62FE7057" w14:textId="428A2055" w:rsidR="00214D8B" w:rsidRDefault="00214D8B" w:rsidP="005B027B">
            <w:pPr>
              <w:rPr>
                <w:rFonts w:eastAsia="Times New Roman"/>
                <w:iCs/>
                <w:sz w:val="16"/>
                <w:szCs w:val="16"/>
                <w:lang w:eastAsia="fr-FR"/>
              </w:rPr>
            </w:pPr>
            <w:r>
              <w:rPr>
                <w:rFonts w:eastAsia="Times New Roman"/>
                <w:iCs/>
                <w:sz w:val="16"/>
                <w:szCs w:val="16"/>
                <w:lang w:eastAsia="fr-FR"/>
              </w:rPr>
              <w:t>59, rue HIGGINSON – Vallée des Colons</w:t>
            </w:r>
          </w:p>
        </w:tc>
        <w:tc>
          <w:tcPr>
            <w:tcW w:w="911" w:type="pct"/>
            <w:shd w:val="clear" w:color="auto" w:fill="FFFFFF"/>
          </w:tcPr>
          <w:p w14:paraId="5C3907AB" w14:textId="7A55CEA6" w:rsidR="00214D8B" w:rsidRDefault="00214D8B" w:rsidP="005B027B">
            <w:pPr>
              <w:jc w:val="center"/>
              <w:rPr>
                <w:rFonts w:eastAsia="Times New Roman"/>
                <w:iCs/>
                <w:sz w:val="16"/>
                <w:szCs w:val="16"/>
                <w:lang w:eastAsia="fr-FR"/>
              </w:rPr>
            </w:pPr>
            <w:r>
              <w:rPr>
                <w:rFonts w:eastAsia="Times New Roman"/>
                <w:iCs/>
                <w:sz w:val="16"/>
                <w:szCs w:val="16"/>
                <w:lang w:eastAsia="fr-FR"/>
              </w:rPr>
              <w:t>Nouméa</w:t>
            </w:r>
          </w:p>
        </w:tc>
        <w:tc>
          <w:tcPr>
            <w:tcW w:w="911" w:type="pct"/>
            <w:shd w:val="clear" w:color="auto" w:fill="FFFFFF"/>
          </w:tcPr>
          <w:p w14:paraId="5628AB92" w14:textId="3080406D" w:rsidR="00214D8B" w:rsidRDefault="00214D8B" w:rsidP="005B027B">
            <w:pPr>
              <w:jc w:val="center"/>
              <w:rPr>
                <w:rFonts w:eastAsia="Times New Roman"/>
                <w:iCs/>
                <w:sz w:val="16"/>
                <w:szCs w:val="16"/>
                <w:lang w:eastAsia="fr-FR"/>
              </w:rPr>
            </w:pPr>
            <w:r>
              <w:rPr>
                <w:rFonts w:eastAsia="Times New Roman"/>
                <w:iCs/>
                <w:sz w:val="16"/>
                <w:szCs w:val="16"/>
                <w:lang w:eastAsia="fr-FR"/>
              </w:rPr>
              <w:t>78</w:t>
            </w:r>
          </w:p>
        </w:tc>
      </w:tr>
    </w:tbl>
    <w:p w14:paraId="54A376AE" w14:textId="6AA5D11A" w:rsidR="00214D8B" w:rsidRPr="00513C41" w:rsidRDefault="00214D8B" w:rsidP="00513C41">
      <w:pPr>
        <w:spacing w:after="0" w:line="240" w:lineRule="auto"/>
        <w:jc w:val="both"/>
        <w:rPr>
          <w:rFonts w:ascii="Calibri" w:eastAsia="Times New Roman" w:hAnsi="Calibri" w:cs="Calibri"/>
          <w:b/>
          <w:iCs/>
          <w:color w:val="5B9BD5" w:themeColor="accent1"/>
          <w:sz w:val="20"/>
          <w:szCs w:val="20"/>
          <w:lang w:eastAsia="fr-FR"/>
        </w:rPr>
      </w:pPr>
    </w:p>
    <w:p w14:paraId="223015A1" w14:textId="77777777" w:rsidR="00513C41" w:rsidRDefault="00513C41" w:rsidP="00513C41">
      <w:pPr>
        <w:spacing w:after="0" w:line="240" w:lineRule="auto"/>
        <w:jc w:val="both"/>
        <w:rPr>
          <w:rFonts w:ascii="Calibri" w:eastAsia="Times New Roman" w:hAnsi="Calibri" w:cs="Calibri"/>
          <w:b/>
          <w:iCs/>
          <w:sz w:val="20"/>
          <w:szCs w:val="20"/>
          <w:lang w:eastAsia="fr-FR"/>
        </w:rPr>
      </w:pPr>
    </w:p>
    <w:p w14:paraId="74F0BF62" w14:textId="273AE82C"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00214D8B">
        <w:rPr>
          <w:rFonts w:ascii="Calibri" w:eastAsia="Times New Roman" w:hAnsi="Calibri" w:cs="Calibri"/>
          <w:b/>
          <w:color w:val="548DD4"/>
          <w:sz w:val="20"/>
          <w:szCs w:val="24"/>
          <w:lang w:eastAsia="fr-FR"/>
        </w:rPr>
        <w:t>(2) deux tranches budgétaires fermes</w:t>
      </w:r>
      <w:r w:rsidRPr="00513C41">
        <w:rPr>
          <w:rFonts w:ascii="Calibri" w:eastAsia="Times New Roman" w:hAnsi="Calibri" w:cs="Calibri"/>
          <w:sz w:val="20"/>
          <w:szCs w:val="24"/>
          <w:lang w:eastAsia="fr-FR"/>
        </w:rPr>
        <w:t>.</w:t>
      </w:r>
    </w:p>
    <w:p w14:paraId="52EB049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1C6E9A35" w14:textId="77777777" w:rsidR="006B5946" w:rsidRPr="00117308" w:rsidRDefault="006B5946" w:rsidP="006B5946">
      <w:pPr>
        <w:pStyle w:val="Corpsdetexte"/>
        <w:rPr>
          <w:rFonts w:asciiTheme="minorHAnsi" w:hAnsiTheme="minorHAnsi" w:cstheme="minorHAnsi"/>
          <w:szCs w:val="20"/>
        </w:rPr>
      </w:pPr>
      <w:r w:rsidRPr="00117308">
        <w:rPr>
          <w:rFonts w:asciiTheme="minorHAnsi" w:hAnsiTheme="minorHAnsi" w:cstheme="minorHAnsi"/>
          <w:szCs w:val="20"/>
        </w:rPr>
        <w:t xml:space="preserve">Le marché est passé sous la forme d’un </w:t>
      </w:r>
      <w:r w:rsidRPr="002C608E">
        <w:rPr>
          <w:rFonts w:asciiTheme="minorHAnsi" w:hAnsiTheme="minorHAnsi" w:cstheme="minorHAnsi"/>
          <w:b/>
          <w:color w:val="5B9BD5" w:themeColor="accent1"/>
          <w:szCs w:val="20"/>
        </w:rPr>
        <w:t>marché réglé au métré</w:t>
      </w:r>
      <w:r w:rsidRPr="002C608E">
        <w:rPr>
          <w:rFonts w:asciiTheme="minorHAnsi" w:hAnsiTheme="minorHAnsi" w:cstheme="minorHAnsi"/>
          <w:color w:val="5B9BD5" w:themeColor="accent1"/>
          <w:szCs w:val="20"/>
        </w:rPr>
        <w:t xml:space="preserve"> </w:t>
      </w:r>
      <w:r w:rsidRPr="00117308">
        <w:rPr>
          <w:rFonts w:asciiTheme="minorHAnsi" w:hAnsiTheme="minorHAnsi" w:cstheme="minorHAnsi"/>
          <w:szCs w:val="20"/>
        </w:rPr>
        <w:t>des quantités réellement exécutées par application du bordereau de prix unitaire</w:t>
      </w:r>
      <w:r>
        <w:rPr>
          <w:rFonts w:asciiTheme="minorHAnsi" w:hAnsiTheme="minorHAnsi" w:cstheme="minorHAnsi"/>
          <w:szCs w:val="20"/>
        </w:rPr>
        <w:t>s</w:t>
      </w:r>
      <w:r w:rsidRPr="00117308">
        <w:rPr>
          <w:rFonts w:asciiTheme="minorHAnsi" w:hAnsiTheme="minorHAnsi" w:cstheme="minorHAnsi"/>
          <w:szCs w:val="20"/>
        </w:rPr>
        <w:t xml:space="preserve"> et sera réalisé selon le planning prévisionnel établi par l’entrepreneur en consultation avec les occupants des logements. </w:t>
      </w:r>
    </w:p>
    <w:p w14:paraId="1EAA73DA"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C2B4119" w14:textId="0F53E927" w:rsidR="00513C41"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2124476D" w14:textId="07D4D44D" w:rsidR="00214D8B" w:rsidRDefault="00214D8B"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20C31AA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2D5B1E35"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MO</w:t>
      </w:r>
      <w:r w:rsidR="00214D8B">
        <w:rPr>
          <w:rFonts w:ascii="Calibri" w:eastAsia="Times New Roman" w:hAnsi="Calibri" w:cs="Calibri"/>
          <w:sz w:val="20"/>
          <w:szCs w:val="24"/>
          <w:lang w:eastAsia="fr-FR"/>
        </w:rPr>
        <w:t xml:space="preserve">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611EBE64"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3364DD">
        <w:rPr>
          <w:rFonts w:ascii="Calibri" w:eastAsia="Times New Roman" w:hAnsi="Calibri" w:cs="Calibri"/>
          <w:b/>
          <w:bCs/>
          <w:color w:val="548DD4"/>
          <w:sz w:val="20"/>
          <w:szCs w:val="20"/>
          <w:lang w:eastAsia="fr-FR"/>
        </w:rPr>
        <w:t>14</w:t>
      </w:r>
      <w:bookmarkStart w:id="5" w:name="_GoBack"/>
      <w:bookmarkEnd w:id="5"/>
      <w:r w:rsidR="003364DD">
        <w:rPr>
          <w:rFonts w:ascii="Calibri" w:eastAsia="Times New Roman" w:hAnsi="Calibri" w:cs="Calibri"/>
          <w:b/>
          <w:bCs/>
          <w:color w:val="548DD4"/>
          <w:sz w:val="20"/>
          <w:szCs w:val="20"/>
          <w:lang w:eastAsia="fr-FR"/>
        </w:rPr>
        <w:t xml:space="preserve"> </w:t>
      </w:r>
      <w:r w:rsidR="00513C41" w:rsidRPr="00513C41">
        <w:rPr>
          <w:rFonts w:ascii="Calibri" w:eastAsia="Times New Roman" w:hAnsi="Calibri" w:cs="Calibri"/>
          <w:b/>
          <w:bCs/>
          <w:sz w:val="20"/>
          <w:szCs w:val="20"/>
          <w:lang w:eastAsia="fr-FR"/>
        </w:rPr>
        <w:t xml:space="preserve">mois maximum, y compris la période de préparation d’une durée de </w:t>
      </w:r>
      <w:r w:rsidR="003364DD">
        <w:rPr>
          <w:rFonts w:ascii="Calibri" w:eastAsia="Times New Roman" w:hAnsi="Calibri" w:cs="Calibri"/>
          <w:b/>
          <w:bCs/>
          <w:color w:val="548DD4"/>
          <w:sz w:val="20"/>
          <w:szCs w:val="20"/>
          <w:lang w:eastAsia="fr-FR"/>
        </w:rPr>
        <w:t xml:space="preserve">15 </w:t>
      </w:r>
      <w:r w:rsidR="00513C41" w:rsidRPr="00513C41">
        <w:rPr>
          <w:rFonts w:ascii="Calibri" w:eastAsia="Times New Roman" w:hAnsi="Calibri" w:cs="Calibri"/>
          <w:b/>
          <w:bCs/>
          <w:color w:val="548DD4"/>
          <w:sz w:val="20"/>
          <w:szCs w:val="20"/>
          <w:lang w:eastAsia="fr-FR"/>
        </w:rPr>
        <w:t>jours</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1109D11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 xml:space="preserve">n des prix de </w:t>
      </w:r>
      <w:r w:rsidR="00C96714">
        <w:rPr>
          <w:rFonts w:ascii="Calibri" w:eastAsia="Times New Roman" w:hAnsi="Calibri" w:cs="Calibri"/>
          <w:sz w:val="20"/>
          <w:szCs w:val="24"/>
          <w:lang w:eastAsia="fr-FR"/>
        </w:rPr>
        <w:t>prix sont fixées à l’article 3.3.1</w:t>
      </w:r>
      <w:r w:rsidR="00687773">
        <w:rPr>
          <w:rFonts w:ascii="Calibri" w:eastAsia="Times New Roman" w:hAnsi="Calibri" w:cs="Calibri"/>
          <w:sz w:val="20"/>
          <w:szCs w:val="24"/>
          <w:lang w:eastAsia="fr-FR"/>
        </w:rPr>
        <w:t xml:space="preserve">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03F8470C"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655742">
        <w:rPr>
          <w:rFonts w:ascii="Calibri" w:eastAsia="Times New Roman" w:hAnsi="Calibri" w:cs="Calibri"/>
          <w:sz w:val="20"/>
          <w:szCs w:val="24"/>
          <w:lang w:eastAsia="fr-FR"/>
        </w:rPr>
        <w:t>ni</w:t>
      </w:r>
      <w:r w:rsidR="00B048BB">
        <w:rPr>
          <w:rFonts w:ascii="Calibri" w:eastAsia="Times New Roman" w:hAnsi="Calibri" w:cs="Calibri"/>
          <w:sz w:val="20"/>
          <w:szCs w:val="24"/>
          <w:lang w:eastAsia="fr-FR"/>
        </w:rPr>
        <w:t xml:space="preserve"> au CCAP, est fixé au mois de</w:t>
      </w:r>
      <w:r w:rsidR="00B048BB">
        <w:rPr>
          <w:rFonts w:ascii="Calibri" w:eastAsia="Times New Roman" w:hAnsi="Calibri" w:cs="Calibri"/>
          <w:b/>
          <w:color w:val="548DD4"/>
          <w:sz w:val="20"/>
          <w:szCs w:val="24"/>
          <w:lang w:eastAsia="fr-FR"/>
        </w:rPr>
        <w:t xml:space="preserve"> </w:t>
      </w:r>
      <w:r w:rsidR="006B5946">
        <w:rPr>
          <w:rFonts w:ascii="Calibri" w:eastAsia="Times New Roman" w:hAnsi="Calibri" w:cs="Calibri"/>
          <w:b/>
          <w:color w:val="548DD4"/>
          <w:sz w:val="20"/>
          <w:szCs w:val="24"/>
          <w:lang w:eastAsia="fr-FR"/>
        </w:rPr>
        <w:t>mai 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66CA466A"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TTC</w:t>
      </w:r>
      <w:r w:rsidRPr="00513C41">
        <w:rPr>
          <w:rFonts w:ascii="Calibri" w:eastAsia="Times New Roman" w:hAnsi="Calibri" w:cs="Calibri"/>
          <w:b/>
          <w:sz w:val="20"/>
          <w:szCs w:val="24"/>
          <w:lang w:eastAsia="fr-FR"/>
        </w:rPr>
        <w:t xml:space="preserve"> conformément a</w:t>
      </w:r>
      <w:r w:rsidR="00C96714">
        <w:rPr>
          <w:rFonts w:ascii="Calibri" w:eastAsia="Times New Roman" w:hAnsi="Calibri" w:cs="Calibri"/>
          <w:b/>
          <w:sz w:val="20"/>
          <w:szCs w:val="24"/>
          <w:lang w:eastAsia="fr-FR"/>
        </w:rPr>
        <w:t>ux dispositions de l’Article 3.2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00A88C30" w14:textId="0FF12E5E" w:rsidR="00513C41" w:rsidRPr="00513C41" w:rsidRDefault="006B5946"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Sans objet.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05E0689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sidR="00B048BB">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sidR="00B048BB">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4BBD3B18" w14:textId="77777777" w:rsidR="00C128FB" w:rsidRDefault="00C128FB" w:rsidP="00513C41">
      <w:pPr>
        <w:spacing w:after="0" w:line="240" w:lineRule="auto"/>
        <w:jc w:val="both"/>
        <w:rPr>
          <w:rFonts w:ascii="Calibri" w:eastAsia="Times New Roman" w:hAnsi="Calibri" w:cs="Calibri"/>
          <w:b/>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p>
    <w:bookmarkStart w:id="6" w:name="_MON_1610964804"/>
    <w:bookmarkEnd w:id="6"/>
    <w:p w14:paraId="70EC0615" w14:textId="617E349B" w:rsidR="00513C41" w:rsidRPr="00513C41" w:rsidRDefault="007671EE"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object w:dxaOrig="10228" w:dyaOrig="1208" w14:anchorId="6386D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60.75pt" o:ole="">
            <v:imagedata r:id="rId11" o:title=""/>
          </v:shape>
          <o:OLEObject Type="Embed" ProgID="Excel.Sheet.12" ShapeID="_x0000_i1025" DrawAspect="Content" ObjectID="_1808031988" r:id="rId12"/>
        </w:objec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37D9DD1B" w:rsidR="00513C41" w:rsidRPr="00CA1BF8" w:rsidRDefault="006B5946"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w:t>
      </w:r>
      <w:r w:rsidR="0079643F">
        <w:rPr>
          <w:rFonts w:ascii="Calibri" w:eastAsia="Times New Roman" w:hAnsi="Calibri" w:cs="Calibri"/>
          <w:b/>
          <w:color w:val="548DD4"/>
          <w:sz w:val="20"/>
          <w:szCs w:val="24"/>
          <w:lang w:eastAsia="fr-FR"/>
        </w:rPr>
        <w:t xml:space="preserve"> </w:t>
      </w:r>
      <w:r>
        <w:rPr>
          <w:rFonts w:ascii="Calibri" w:eastAsia="Times New Roman" w:hAnsi="Calibri" w:cs="Calibri"/>
          <w:b/>
          <w:color w:val="548DD4"/>
          <w:sz w:val="20"/>
          <w:szCs w:val="24"/>
          <w:lang w:eastAsia="fr-FR"/>
        </w:rPr>
        <w:t>Millions</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w:t>
      </w:r>
      <w:r w:rsidR="007671EE">
        <w:rPr>
          <w:rFonts w:ascii="Calibri" w:eastAsia="Times New Roman" w:hAnsi="Calibri" w:cs="Calibri"/>
          <w:b/>
          <w:color w:val="548DD4"/>
          <w:sz w:val="20"/>
          <w:szCs w:val="24"/>
          <w:lang w:eastAsia="fr-FR"/>
        </w:rPr>
        <w:t>TTC</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2EBCAB0B" w:rsidR="00513C41" w:rsidRDefault="00513C41" w:rsidP="00513C41">
      <w:pPr>
        <w:spacing w:after="0" w:line="240" w:lineRule="auto"/>
        <w:jc w:val="both"/>
        <w:rPr>
          <w:rFonts w:ascii="Calibri" w:eastAsia="Times New Roman" w:hAnsi="Calibri" w:cs="Calibri"/>
          <w:sz w:val="20"/>
          <w:szCs w:val="24"/>
          <w:lang w:eastAsia="fr-FR"/>
        </w:rPr>
      </w:pPr>
    </w:p>
    <w:p w14:paraId="16FA7F38" w14:textId="77777777" w:rsidR="003364DD" w:rsidRPr="00513C41" w:rsidRDefault="003364DD"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7  SOUS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615D8E">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lastRenderedPageBreak/>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615D8E">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615D8E">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615D8E">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615D8E">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615D8E">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4218"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615D8E">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615D8E">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38395F0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5407B3E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B51D24">
        <w:trPr>
          <w:trHeight w:val="1835"/>
        </w:trPr>
        <w:tc>
          <w:tcPr>
            <w:tcW w:w="2135" w:type="pct"/>
          </w:tcPr>
          <w:p w14:paraId="2B5C72DA" w14:textId="767E2B08" w:rsidR="00E855B4" w:rsidRPr="009247B4" w:rsidRDefault="00E855B4" w:rsidP="00B51D2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B51D2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B51D24">
            <w:pPr>
              <w:spacing w:after="0" w:line="240" w:lineRule="auto"/>
              <w:jc w:val="center"/>
              <w:rPr>
                <w:rFonts w:eastAsia="Times New Roman" w:cstheme="minorHAnsi"/>
                <w:sz w:val="20"/>
                <w:szCs w:val="20"/>
                <w:lang w:eastAsia="fr-FR"/>
              </w:rPr>
            </w:pPr>
          </w:p>
          <w:p w14:paraId="5C96EFFC" w14:textId="77777777" w:rsidR="00E855B4" w:rsidRPr="009247B4" w:rsidRDefault="00E855B4" w:rsidP="00B51D24">
            <w:pPr>
              <w:spacing w:after="0" w:line="240" w:lineRule="auto"/>
              <w:jc w:val="center"/>
              <w:rPr>
                <w:rFonts w:eastAsia="Times New Roman" w:cstheme="minorHAnsi"/>
                <w:sz w:val="20"/>
                <w:szCs w:val="20"/>
                <w:lang w:eastAsia="fr-FR"/>
              </w:rPr>
            </w:pPr>
          </w:p>
          <w:p w14:paraId="2581794E" w14:textId="77777777" w:rsidR="00E855B4" w:rsidRPr="009247B4" w:rsidRDefault="00E855B4" w:rsidP="00B51D24">
            <w:pPr>
              <w:spacing w:after="0" w:line="240" w:lineRule="auto"/>
              <w:jc w:val="center"/>
              <w:rPr>
                <w:rFonts w:eastAsia="Times New Roman" w:cstheme="minorHAnsi"/>
                <w:sz w:val="20"/>
                <w:szCs w:val="20"/>
                <w:lang w:eastAsia="fr-FR"/>
              </w:rPr>
            </w:pPr>
          </w:p>
          <w:p w14:paraId="7317683E" w14:textId="77777777" w:rsidR="00E855B4" w:rsidRPr="009247B4" w:rsidRDefault="00E855B4" w:rsidP="00B51D2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B51D24">
            <w:pPr>
              <w:spacing w:after="0" w:line="240" w:lineRule="auto"/>
              <w:jc w:val="center"/>
              <w:rPr>
                <w:rFonts w:eastAsia="Times New Roman" w:cstheme="minorHAnsi"/>
                <w:sz w:val="20"/>
                <w:szCs w:val="20"/>
                <w:lang w:eastAsia="fr-FR"/>
              </w:rPr>
            </w:pPr>
          </w:p>
          <w:p w14:paraId="7F940DA9" w14:textId="77777777" w:rsidR="00E855B4" w:rsidRPr="009247B4" w:rsidRDefault="00E855B4" w:rsidP="00B51D24">
            <w:pPr>
              <w:spacing w:after="0" w:line="240" w:lineRule="auto"/>
              <w:jc w:val="center"/>
              <w:rPr>
                <w:rFonts w:eastAsia="Times New Roman" w:cstheme="minorHAnsi"/>
                <w:sz w:val="20"/>
                <w:szCs w:val="20"/>
                <w:lang w:eastAsia="fr-FR"/>
              </w:rPr>
            </w:pPr>
          </w:p>
          <w:p w14:paraId="528CCEAC" w14:textId="4E834EF4" w:rsidR="00E855B4" w:rsidRPr="009247B4" w:rsidRDefault="00E855B4" w:rsidP="00B51D2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33BBB1B7"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0F600" w14:textId="77777777" w:rsidR="00D64A1F" w:rsidRDefault="00D64A1F" w:rsidP="00752797">
      <w:pPr>
        <w:spacing w:after="0" w:line="240" w:lineRule="auto"/>
      </w:pPr>
      <w:r>
        <w:separator/>
      </w:r>
    </w:p>
  </w:endnote>
  <w:endnote w:type="continuationSeparator" w:id="0">
    <w:p w14:paraId="5D43C36D" w14:textId="77777777" w:rsidR="00D64A1F" w:rsidRDefault="00D64A1F"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73A98B22" w:rsidR="00DF04E1" w:rsidRPr="001D43DB" w:rsidRDefault="00DF04E1" w:rsidP="004003D2">
    <w:pPr>
      <w:pStyle w:val="Pieddepage"/>
      <w:spacing w:after="240"/>
      <w:rPr>
        <w:rFonts w:cstheme="minorHAnsi"/>
        <w:sz w:val="16"/>
        <w:szCs w:val="16"/>
      </w:rPr>
    </w:pPr>
    <w:r w:rsidRPr="001D43DB">
      <w:rPr>
        <w:rFonts w:cstheme="minorHAnsi"/>
        <w:sz w:val="16"/>
        <w:szCs w:val="16"/>
      </w:rPr>
      <w:t xml:space="preserve">Marché de </w:t>
    </w:r>
    <w:r w:rsidR="00513C41" w:rsidRPr="001D43DB">
      <w:rPr>
        <w:rFonts w:cstheme="minorHAnsi"/>
        <w:sz w:val="16"/>
        <w:szCs w:val="16"/>
      </w:rPr>
      <w:t>Travaux</w:t>
    </w:r>
    <w:r w:rsidRPr="001D43DB">
      <w:rPr>
        <w:rFonts w:cstheme="minorHAnsi"/>
        <w:sz w:val="16"/>
        <w:szCs w:val="16"/>
      </w:rPr>
      <w:t xml:space="preserve"> n° </w:t>
    </w:r>
    <w:r w:rsidR="007116B7" w:rsidRPr="007116B7">
      <w:rPr>
        <w:rFonts w:cstheme="minorHAnsi"/>
        <w:b/>
        <w:color w:val="4F81BD"/>
        <w:sz w:val="16"/>
        <w:szCs w:val="16"/>
      </w:rPr>
      <w:t>20682/2025/4-5/376-01</w:t>
    </w:r>
    <w:r w:rsidRPr="001D43DB">
      <w:rPr>
        <w:rFonts w:cstheme="minorHAnsi"/>
        <w:b/>
        <w:color w:val="4F81BD"/>
        <w:sz w:val="16"/>
        <w:szCs w:val="16"/>
      </w:rPr>
      <w:t xml:space="preserve"> </w:t>
    </w:r>
    <w:r w:rsidRPr="001D43DB">
      <w:rPr>
        <w:rFonts w:cstheme="minorHAnsi"/>
        <w:sz w:val="16"/>
        <w:szCs w:val="16"/>
      </w:rPr>
      <w:t xml:space="preserve">– Pièce n°1 / AE - </w:t>
    </w:r>
    <w:r w:rsidR="0068684E"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sidR="00655742">
      <w:rPr>
        <w:rFonts w:cstheme="minorHAnsi"/>
        <w:noProof/>
        <w:sz w:val="16"/>
        <w:szCs w:val="16"/>
      </w:rPr>
      <w:t>6</w:t>
    </w:r>
    <w:r w:rsidRPr="001D43DB">
      <w:rPr>
        <w:rFonts w:cstheme="minorHAnsi"/>
        <w:sz w:val="16"/>
        <w:szCs w:val="16"/>
      </w:rPr>
      <w:fldChar w:fldCharType="end"/>
    </w:r>
  </w:p>
  <w:p w14:paraId="76B16199" w14:textId="77777777" w:rsidR="00DF04E1" w:rsidRDefault="00DF04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0C7E" w14:textId="77777777" w:rsidR="00D64A1F" w:rsidRDefault="00D64A1F" w:rsidP="00752797">
      <w:pPr>
        <w:spacing w:after="0" w:line="240" w:lineRule="auto"/>
      </w:pPr>
      <w:r>
        <w:separator/>
      </w:r>
    </w:p>
  </w:footnote>
  <w:footnote w:type="continuationSeparator" w:id="0">
    <w:p w14:paraId="7DC3E040" w14:textId="77777777" w:rsidR="00D64A1F" w:rsidRDefault="00D64A1F"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380796A0" w:rsidR="00DF04E1" w:rsidRPr="001D43DB" w:rsidRDefault="008C1745" w:rsidP="00465CFD">
    <w:pPr>
      <w:pStyle w:val="En-tte"/>
      <w:tabs>
        <w:tab w:val="clear" w:pos="4536"/>
      </w:tabs>
      <w:rPr>
        <w:b/>
        <w:color w:val="4F81BD"/>
        <w:sz w:val="16"/>
        <w:szCs w:val="16"/>
      </w:rPr>
    </w:pPr>
    <w:r w:rsidRPr="008C1745">
      <w:rPr>
        <w:b/>
        <w:color w:val="4F81BD"/>
        <w:sz w:val="16"/>
        <w:szCs w:val="16"/>
      </w:rPr>
      <w:t>Réfection en site occupé des bacs à douche des résidences LES PALMIERS et CALEDONIA EST du parc du Fonds Calédonien de l’Habitat</w:t>
    </w:r>
    <w:r w:rsidR="004946E4" w:rsidRPr="001D43DB">
      <w:rPr>
        <w:b/>
        <w:color w:val="4F81BD"/>
        <w:sz w:val="16"/>
        <w:szCs w:val="16"/>
      </w:rPr>
      <w:tab/>
    </w:r>
    <w:r w:rsidR="004946E4" w:rsidRPr="001D43DB">
      <w:rPr>
        <w:b/>
        <w:color w:val="4F81BD"/>
        <w:sz w:val="16"/>
        <w:szCs w:val="16"/>
      </w:rPr>
      <w:tab/>
    </w:r>
    <w:r w:rsidR="00DF04E1" w:rsidRPr="001D43DB">
      <w:rPr>
        <w:b/>
        <w:color w:val="4F81BD"/>
        <w:sz w:val="16"/>
        <w:szCs w:val="16"/>
      </w:rPr>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96EE9E4" w:rsidR="00DF04E1" w:rsidRDefault="00DF04E1"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sidR="00F87B60">
      <w:rPr>
        <w:sz w:val="16"/>
        <w:szCs w:val="16"/>
      </w:rPr>
      <w:t>IMP-10</w:t>
    </w:r>
    <w:r w:rsidR="0097298A">
      <w:rPr>
        <w:sz w:val="16"/>
        <w:szCs w:val="16"/>
      </w:rPr>
      <w:t>a</w:t>
    </w:r>
    <w:r w:rsidR="00F07C84">
      <w:rPr>
        <w:sz w:val="16"/>
        <w:szCs w:val="16"/>
      </w:rPr>
      <w:t xml:space="preserve"> </w:t>
    </w:r>
    <w:r w:rsidR="5D867E21">
      <w:rPr>
        <w:sz w:val="16"/>
        <w:szCs w:val="16"/>
      </w:rPr>
      <w:t>/</w:t>
    </w:r>
    <w:r w:rsidR="00F07C84">
      <w:rPr>
        <w:sz w:val="16"/>
        <w:szCs w:val="16"/>
      </w:rPr>
      <w:t xml:space="preserve"> </w:t>
    </w:r>
    <w:r w:rsidR="001252A4">
      <w:rPr>
        <w:sz w:val="16"/>
        <w:szCs w:val="16"/>
      </w:rPr>
      <w:t>PIF – Rév. B</w:t>
    </w:r>
    <w:r w:rsidR="5D867E21">
      <w:rPr>
        <w:sz w:val="16"/>
        <w:szCs w:val="16"/>
      </w:rPr>
      <w:t xml:space="preserve"> du </w:t>
    </w:r>
    <w:r w:rsidR="001252A4">
      <w:rPr>
        <w:sz w:val="16"/>
        <w:szCs w:val="16"/>
      </w:rPr>
      <w:t>25/03/2025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52656"/>
    <w:rsid w:val="0006117F"/>
    <w:rsid w:val="00081052"/>
    <w:rsid w:val="00093F9D"/>
    <w:rsid w:val="00094B0A"/>
    <w:rsid w:val="000A6D9F"/>
    <w:rsid w:val="000C0FAF"/>
    <w:rsid w:val="000C22EF"/>
    <w:rsid w:val="000C6AA3"/>
    <w:rsid w:val="00102C6F"/>
    <w:rsid w:val="00110202"/>
    <w:rsid w:val="001252A4"/>
    <w:rsid w:val="00152E26"/>
    <w:rsid w:val="00164071"/>
    <w:rsid w:val="00173991"/>
    <w:rsid w:val="001A11F4"/>
    <w:rsid w:val="001D43DB"/>
    <w:rsid w:val="00214D8B"/>
    <w:rsid w:val="00217FD8"/>
    <w:rsid w:val="00231248"/>
    <w:rsid w:val="002650D6"/>
    <w:rsid w:val="00270A33"/>
    <w:rsid w:val="00286A69"/>
    <w:rsid w:val="002971C5"/>
    <w:rsid w:val="002C13D4"/>
    <w:rsid w:val="002C52C6"/>
    <w:rsid w:val="002C5EAB"/>
    <w:rsid w:val="002C7820"/>
    <w:rsid w:val="003062B5"/>
    <w:rsid w:val="003077E8"/>
    <w:rsid w:val="003364DD"/>
    <w:rsid w:val="0036591A"/>
    <w:rsid w:val="00373295"/>
    <w:rsid w:val="00392CC9"/>
    <w:rsid w:val="003B1B75"/>
    <w:rsid w:val="003C1745"/>
    <w:rsid w:val="003D181A"/>
    <w:rsid w:val="004003D2"/>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62169"/>
    <w:rsid w:val="00571710"/>
    <w:rsid w:val="00574EBC"/>
    <w:rsid w:val="005900D2"/>
    <w:rsid w:val="00595B30"/>
    <w:rsid w:val="005A081A"/>
    <w:rsid w:val="005E6705"/>
    <w:rsid w:val="005E77DB"/>
    <w:rsid w:val="005F181A"/>
    <w:rsid w:val="005F5760"/>
    <w:rsid w:val="005F6A1A"/>
    <w:rsid w:val="00605F71"/>
    <w:rsid w:val="00647514"/>
    <w:rsid w:val="00655742"/>
    <w:rsid w:val="0068684E"/>
    <w:rsid w:val="00687773"/>
    <w:rsid w:val="006B0DDF"/>
    <w:rsid w:val="006B17AF"/>
    <w:rsid w:val="006B5946"/>
    <w:rsid w:val="006E04C4"/>
    <w:rsid w:val="007116B7"/>
    <w:rsid w:val="00721B1D"/>
    <w:rsid w:val="00726945"/>
    <w:rsid w:val="00727D79"/>
    <w:rsid w:val="00734A32"/>
    <w:rsid w:val="0074565B"/>
    <w:rsid w:val="00752797"/>
    <w:rsid w:val="00752FB2"/>
    <w:rsid w:val="007671EE"/>
    <w:rsid w:val="00777207"/>
    <w:rsid w:val="00790CA4"/>
    <w:rsid w:val="00792926"/>
    <w:rsid w:val="0079643F"/>
    <w:rsid w:val="007A34F8"/>
    <w:rsid w:val="007A4955"/>
    <w:rsid w:val="007A689D"/>
    <w:rsid w:val="007A77D3"/>
    <w:rsid w:val="007B4A80"/>
    <w:rsid w:val="007F60D1"/>
    <w:rsid w:val="0080635F"/>
    <w:rsid w:val="00847EAA"/>
    <w:rsid w:val="00857219"/>
    <w:rsid w:val="00861F98"/>
    <w:rsid w:val="008A7DC2"/>
    <w:rsid w:val="008C1745"/>
    <w:rsid w:val="008C77D6"/>
    <w:rsid w:val="00902E81"/>
    <w:rsid w:val="009247B4"/>
    <w:rsid w:val="00924C6C"/>
    <w:rsid w:val="00926122"/>
    <w:rsid w:val="0097271D"/>
    <w:rsid w:val="0097298A"/>
    <w:rsid w:val="00993BFD"/>
    <w:rsid w:val="009A2C9B"/>
    <w:rsid w:val="00A02814"/>
    <w:rsid w:val="00A140F5"/>
    <w:rsid w:val="00A15378"/>
    <w:rsid w:val="00A26378"/>
    <w:rsid w:val="00A300E0"/>
    <w:rsid w:val="00A34EDF"/>
    <w:rsid w:val="00A525BC"/>
    <w:rsid w:val="00A62172"/>
    <w:rsid w:val="00A82272"/>
    <w:rsid w:val="00A8495D"/>
    <w:rsid w:val="00AA6968"/>
    <w:rsid w:val="00AB45FD"/>
    <w:rsid w:val="00B048BB"/>
    <w:rsid w:val="00B06130"/>
    <w:rsid w:val="00B06284"/>
    <w:rsid w:val="00B0639D"/>
    <w:rsid w:val="00B3455A"/>
    <w:rsid w:val="00B52ECC"/>
    <w:rsid w:val="00B701A1"/>
    <w:rsid w:val="00B70A7E"/>
    <w:rsid w:val="00B839D8"/>
    <w:rsid w:val="00B90F4E"/>
    <w:rsid w:val="00BD27E1"/>
    <w:rsid w:val="00C128FB"/>
    <w:rsid w:val="00C33DAF"/>
    <w:rsid w:val="00C34ED3"/>
    <w:rsid w:val="00C36AD6"/>
    <w:rsid w:val="00C53F97"/>
    <w:rsid w:val="00C94866"/>
    <w:rsid w:val="00C96714"/>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64A1F"/>
    <w:rsid w:val="00D77DDD"/>
    <w:rsid w:val="00D927B6"/>
    <w:rsid w:val="00D9292F"/>
    <w:rsid w:val="00D96262"/>
    <w:rsid w:val="00DA1375"/>
    <w:rsid w:val="00DE4BFC"/>
    <w:rsid w:val="00DF04E1"/>
    <w:rsid w:val="00DF1711"/>
    <w:rsid w:val="00E021ED"/>
    <w:rsid w:val="00E02647"/>
    <w:rsid w:val="00E266A7"/>
    <w:rsid w:val="00E26752"/>
    <w:rsid w:val="00E27140"/>
    <w:rsid w:val="00E46F7E"/>
    <w:rsid w:val="00E47695"/>
    <w:rsid w:val="00E53D26"/>
    <w:rsid w:val="00E855B4"/>
    <w:rsid w:val="00EB2388"/>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6B5946"/>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6B5946"/>
    <w:rPr>
      <w:rFonts w:ascii="Arial" w:eastAsia="Times New Roman" w:hAnsi="Arial" w:cs="Arial"/>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2.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BF446E-9749-4CC4-96AA-4EFEF66F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5</Pages>
  <Words>1442</Words>
  <Characters>7931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21</cp:revision>
  <cp:lastPrinted>2021-07-08T06:33:00Z</cp:lastPrinted>
  <dcterms:created xsi:type="dcterms:W3CDTF">2024-03-01T03:32:00Z</dcterms:created>
  <dcterms:modified xsi:type="dcterms:W3CDTF">2025-05-05T23:20:00Z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